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33"/>
          <w:szCs w:val="33"/>
          <w:vertAlign w:val="subscript"/>
        </w:rPr>
        <w:drawing>
          <wp:inline distB="0" distT="0" distL="0" distR="0">
            <wp:extent cx="2227744" cy="1285237"/>
            <wp:effectExtent b="0" l="0" r="0" t="0"/>
            <wp:docPr id="30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27744" cy="12852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2" w:lineRule="auto"/>
        <w:jc w:val="center"/>
        <w:rPr>
          <w:rFonts w:ascii="Arial" w:cs="Arial" w:eastAsia="Arial" w:hAnsi="Arial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2" w:lineRule="auto"/>
        <w:jc w:val="center"/>
        <w:rPr>
          <w:rFonts w:ascii="Arial" w:cs="Arial" w:eastAsia="Arial" w:hAnsi="Arial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2" w:lineRule="auto"/>
        <w:jc w:val="center"/>
        <w:rPr>
          <w:rFonts w:ascii="Arial" w:cs="Arial" w:eastAsia="Arial" w:hAnsi="Arial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2" w:lineRule="auto"/>
        <w:jc w:val="center"/>
        <w:rPr>
          <w:rFonts w:ascii="Arial" w:cs="Arial" w:eastAsia="Arial" w:hAnsi="Arial"/>
          <w:sz w:val="96"/>
          <w:szCs w:val="96"/>
        </w:rPr>
      </w:pPr>
      <w:r w:rsidDel="00000000" w:rsidR="00000000" w:rsidRPr="00000000">
        <w:rPr>
          <w:rFonts w:ascii="Arial" w:cs="Arial" w:eastAsia="Arial" w:hAnsi="Arial"/>
          <w:sz w:val="96"/>
          <w:szCs w:val="96"/>
          <w:rtl w:val="0"/>
        </w:rPr>
        <w:t xml:space="preserve">PROTOCOLO</w:t>
      </w:r>
    </w:p>
    <w:p w:rsidR="00000000" w:rsidDel="00000000" w:rsidP="00000000" w:rsidRDefault="00000000" w:rsidRPr="00000000" w14:paraId="00000008">
      <w:pPr>
        <w:spacing w:before="2" w:lineRule="auto"/>
        <w:jc w:val="center"/>
        <w:rPr>
          <w:rFonts w:ascii="Arial" w:cs="Arial" w:eastAsia="Arial" w:hAnsi="Arial"/>
          <w:sz w:val="96"/>
          <w:szCs w:val="96"/>
        </w:rPr>
      </w:pPr>
      <w:r w:rsidDel="00000000" w:rsidR="00000000" w:rsidRPr="00000000">
        <w:rPr>
          <w:rFonts w:ascii="Arial" w:cs="Arial" w:eastAsia="Arial" w:hAnsi="Arial"/>
          <w:sz w:val="96"/>
          <w:szCs w:val="96"/>
          <w:rtl w:val="0"/>
        </w:rPr>
        <w:t xml:space="preserve">STROKE</w:t>
      </w:r>
    </w:p>
    <w:p w:rsidR="00000000" w:rsidDel="00000000" w:rsidP="00000000" w:rsidRDefault="00000000" w:rsidRPr="00000000" w14:paraId="00000009">
      <w:pPr>
        <w:spacing w:before="2" w:lineRule="auto"/>
        <w:jc w:val="center"/>
        <w:rPr>
          <w:rFonts w:ascii="Arial" w:cs="Arial" w:eastAsia="Arial" w:hAnsi="Arial"/>
          <w:sz w:val="96"/>
          <w:szCs w:val="96"/>
        </w:rPr>
      </w:pPr>
      <w:r w:rsidDel="00000000" w:rsidR="00000000" w:rsidRPr="00000000">
        <w:rPr>
          <w:rFonts w:ascii="Arial" w:cs="Arial" w:eastAsia="Arial" w:hAnsi="Arial"/>
          <w:sz w:val="96"/>
          <w:szCs w:val="96"/>
          <w:rtl w:val="0"/>
        </w:rPr>
        <w:t xml:space="preserve">HPN</w:t>
      </w:r>
    </w:p>
    <w:p w:rsidR="00000000" w:rsidDel="00000000" w:rsidP="00000000" w:rsidRDefault="00000000" w:rsidRPr="00000000" w14:paraId="0000000A">
      <w:pPr>
        <w:spacing w:line="540" w:lineRule="auto"/>
        <w:ind w:left="100" w:firstLine="0"/>
        <w:jc w:val="center"/>
        <w:rPr>
          <w:rFonts w:ascii="Arial" w:cs="Arial" w:eastAsia="Arial" w:hAnsi="Arial"/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Arial" w:cs="Arial" w:eastAsia="Arial" w:hAnsi="Arial"/>
          <w:sz w:val="48"/>
          <w:szCs w:val="48"/>
        </w:rPr>
      </w:pPr>
      <w:r w:rsidDel="00000000" w:rsidR="00000000" w:rsidRPr="00000000">
        <w:rPr>
          <w:rFonts w:ascii="Arial" w:cs="Arial" w:eastAsia="Arial" w:hAnsi="Arial"/>
          <w:sz w:val="72"/>
          <w:szCs w:val="72"/>
          <w:rtl w:val="0"/>
        </w:rPr>
        <w:t xml:space="preserve">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5" w:lineRule="auto"/>
        <w:rPr>
          <w:rFonts w:ascii="Times New Roman" w:cs="Times New Roman" w:eastAsia="Times New Roman" w:hAnsi="Times New Roman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9" w:lineRule="auto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COMITÉ DE STROKE</w:t>
      </w:r>
    </w:p>
    <w:p w:rsidR="00000000" w:rsidDel="00000000" w:rsidP="00000000" w:rsidRDefault="00000000" w:rsidRPr="00000000" w14:paraId="00000018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Hospital Provincial Neuquén</w:t>
      </w:r>
    </w:p>
    <w:p w:rsidR="00000000" w:rsidDel="00000000" w:rsidP="00000000" w:rsidRDefault="00000000" w:rsidRPr="00000000" w14:paraId="00000019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Julio 2019</w:t>
      </w:r>
    </w:p>
    <w:p w:rsidR="00000000" w:rsidDel="00000000" w:rsidP="00000000" w:rsidRDefault="00000000" w:rsidRPr="00000000" w14:paraId="0000001A">
      <w:pPr>
        <w:spacing w:before="2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9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993"/>
        </w:tabs>
        <w:rPr>
          <w:b w:val="1"/>
          <w:color w:val="000000"/>
          <w:sz w:val="28"/>
          <w:szCs w:val="28"/>
          <w:u w:val="single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Identificación del paciente.</w:t>
      </w:r>
    </w:p>
    <w:p w:rsidR="00000000" w:rsidDel="00000000" w:rsidP="00000000" w:rsidRDefault="00000000" w:rsidRPr="00000000" w14:paraId="0000001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993"/>
        </w:tabs>
        <w:ind w:firstLine="72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993"/>
        </w:tabs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El paciente con sospecha de ACV puede ingresar como una emergencia en ambulancia previa activación de código ictus, o por sus medios a través de atención ambulatoria. En este último caso  las personas que ejercen el rol de secretario del servicio de emergencias deben identificar a los pacientes   que manifiesten dificultad para hablar, para mover un brazo, pierna o cara, por lo tanto deben  dar ingreso inmediato al aérea de triage donde será evaluado por un enfermero</w:t>
      </w:r>
      <w:r w:rsidDel="00000000" w:rsidR="00000000" w:rsidRPr="00000000">
        <w:rPr>
          <w:sz w:val="28"/>
          <w:szCs w:val="28"/>
          <w:rtl w:val="0"/>
        </w:rPr>
        <w:t xml:space="preserve">. En esta instancia se utilizara la escala de Cincinnati y se determinara hora de inicio de los síntomas.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993"/>
        </w:tabs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993"/>
        </w:tabs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993"/>
        </w:tabs>
        <w:rPr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Escala de Cincinnati: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52400" distT="152400" distL="152400" distR="152400" hidden="0" layoutInCell="1" locked="0" relativeHeight="0" simplePos="0">
            <wp:simplePos x="0" y="0"/>
            <wp:positionH relativeFrom="column">
              <wp:posOffset>-128902</wp:posOffset>
            </wp:positionH>
            <wp:positionV relativeFrom="paragraph">
              <wp:posOffset>386080</wp:posOffset>
            </wp:positionV>
            <wp:extent cx="5934075" cy="4351020"/>
            <wp:effectExtent b="0" l="0" r="0" t="0"/>
            <wp:wrapSquare wrapText="bothSides" distB="152400" distT="152400" distL="152400" distR="152400"/>
            <wp:docPr descr="pasted-image" id="304" name="image3.png"/>
            <a:graphic>
              <a:graphicData uri="http://schemas.openxmlformats.org/drawingml/2006/picture">
                <pic:pic>
                  <pic:nvPicPr>
                    <pic:cNvPr descr="pasted-image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43510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En caso de presentar un signo anormal , se da aviso de código ictus al médico de guardia, categorizándose como “rojo”, por lo que se traslada al paciente al shock-room en silla de ruedas, para iniciar el monitoreo y asistencia correspondiente.</w:t>
      </w:r>
    </w:p>
    <w:p w:rsidR="00000000" w:rsidDel="00000000" w:rsidP="00000000" w:rsidRDefault="00000000" w:rsidRPr="00000000" w14:paraId="0000002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Los pacientes que ingresen en ambulancia y ya se haya activado el código ictus serán recibidos en el shock-room por un médico y equipo de enfermería.</w:t>
      </w:r>
    </w:p>
    <w:p w:rsidR="00000000" w:rsidDel="00000000" w:rsidP="00000000" w:rsidRDefault="00000000" w:rsidRPr="00000000" w14:paraId="0000002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Determinar la hora de inicio de síntomas (hora en el cual el paciente  no presentaba el déficit neurológico), establecer si es menor a  6hs de evolución, considerar la realización de tratamiento de reperfusión</w:t>
      </w:r>
    </w:p>
    <w:p w:rsidR="00000000" w:rsidDel="00000000" w:rsidP="00000000" w:rsidRDefault="00000000" w:rsidRPr="00000000" w14:paraId="0000002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Rule="auto"/>
        <w:jc w:val="center"/>
        <w:rPr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b w:val="1"/>
          <w:color w:val="000000"/>
          <w:sz w:val="36"/>
          <w:szCs w:val="36"/>
          <w:u w:val="single"/>
          <w:rtl w:val="0"/>
        </w:rPr>
        <w:t xml:space="preserve">Conducta Inicial en el Servicio de Emergencias</w:t>
      </w:r>
    </w:p>
    <w:p w:rsidR="00000000" w:rsidDel="00000000" w:rsidP="00000000" w:rsidRDefault="00000000" w:rsidRPr="00000000" w14:paraId="0000002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El tratamiento agudo del ACV está dirigido fundamentalmente a salvar la penumbra isquémica. Este tejido no funcionante es potencialmente viable si se restituye el flujo sanguíneo dentro de cierto lapso. La penumbra se reduce minuto a minuto, dando paso a un infarto cerebral consolidado e irreversible, este proceso solo se puede detener si la intervención temprana es oportuna y adecuada. Ésta se basa en dos principios básicos: reperfundir el vaso ocluido y aumentar el flujo colateral. </w:t>
      </w:r>
    </w:p>
    <w:p w:rsidR="00000000" w:rsidDel="00000000" w:rsidP="00000000" w:rsidRDefault="00000000" w:rsidRPr="00000000" w14:paraId="0000002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Al igual que otras patologías como el trauma por ej, los resultados del tratamiento son tiempo dependiente y el objetivo en este caso es realizar la asistencia inicial el diagnóstico e inicio del tratamiento dentro de la “hora de oro”</w:t>
      </w:r>
    </w:p>
    <w:p w:rsidR="00000000" w:rsidDel="00000000" w:rsidP="00000000" w:rsidRDefault="00000000" w:rsidRPr="00000000" w14:paraId="0000002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63"/>
        <w:gridCol w:w="6565"/>
        <w:tblGridChange w:id="0">
          <w:tblGrid>
            <w:gridCol w:w="2263"/>
            <w:gridCol w:w="6565"/>
          </w:tblGrid>
        </w:tblGridChange>
      </w:tblGrid>
      <w:tr>
        <w:tc>
          <w:tcPr/>
          <w:p w:rsidR="00000000" w:rsidDel="00000000" w:rsidP="00000000" w:rsidRDefault="00000000" w:rsidRPr="00000000" w14:paraId="0000002E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0 min</w:t>
            </w:r>
          </w:p>
        </w:tc>
        <w:tc>
          <w:tcPr/>
          <w:p w:rsidR="00000000" w:rsidDel="00000000" w:rsidP="00000000" w:rsidRDefault="00000000" w:rsidRPr="00000000" w14:paraId="0000002F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Llegada del paciente</w:t>
            </w:r>
          </w:p>
        </w:tc>
      </w:tr>
      <w:tr>
        <w:tc>
          <w:tcPr/>
          <w:p w:rsidR="00000000" w:rsidDel="00000000" w:rsidP="00000000" w:rsidRDefault="00000000" w:rsidRPr="00000000" w14:paraId="00000030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&lt;10 min</w:t>
            </w:r>
          </w:p>
        </w:tc>
        <w:tc>
          <w:tcPr/>
          <w:p w:rsidR="00000000" w:rsidDel="00000000" w:rsidP="00000000" w:rsidRDefault="00000000" w:rsidRPr="00000000" w14:paraId="00000031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ABCDE</w:t>
            </w:r>
          </w:p>
        </w:tc>
      </w:tr>
      <w:tr>
        <w:tc>
          <w:tcPr/>
          <w:p w:rsidR="00000000" w:rsidDel="00000000" w:rsidP="00000000" w:rsidRDefault="00000000" w:rsidRPr="00000000" w14:paraId="00000032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&lt;15 min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Laboratorio y aviso al equipo stroke</w:t>
            </w:r>
          </w:p>
        </w:tc>
      </w:tr>
      <w:tr>
        <w:tc>
          <w:tcPr/>
          <w:p w:rsidR="00000000" w:rsidDel="00000000" w:rsidP="00000000" w:rsidRDefault="00000000" w:rsidRPr="00000000" w14:paraId="00000034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&lt;25 min</w:t>
            </w:r>
          </w:p>
        </w:tc>
        <w:tc>
          <w:tcPr/>
          <w:p w:rsidR="00000000" w:rsidDel="00000000" w:rsidP="00000000" w:rsidRDefault="00000000" w:rsidRPr="00000000" w14:paraId="00000035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Realizar la tomografía (c/angio)</w:t>
            </w:r>
          </w:p>
        </w:tc>
      </w:tr>
      <w:tr>
        <w:tc>
          <w:tcPr/>
          <w:p w:rsidR="00000000" w:rsidDel="00000000" w:rsidP="00000000" w:rsidRDefault="00000000" w:rsidRPr="00000000" w14:paraId="00000036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&lt;45 min</w:t>
            </w:r>
          </w:p>
        </w:tc>
        <w:tc>
          <w:tcPr/>
          <w:p w:rsidR="00000000" w:rsidDel="00000000" w:rsidP="00000000" w:rsidRDefault="00000000" w:rsidRPr="00000000" w14:paraId="00000037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Interpretación del resultado</w:t>
            </w:r>
          </w:p>
        </w:tc>
      </w:tr>
      <w:tr>
        <w:tc>
          <w:tcPr/>
          <w:p w:rsidR="00000000" w:rsidDel="00000000" w:rsidP="00000000" w:rsidRDefault="00000000" w:rsidRPr="00000000" w14:paraId="00000038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&lt;60 min</w:t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1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Infusion EV de </w:t>
            </w:r>
            <w:r w:rsidDel="00000000" w:rsidR="00000000" w:rsidRPr="00000000">
              <w:rPr>
                <w:b w:val="1"/>
                <w:color w:val="000000"/>
                <w:sz w:val="28"/>
                <w:szCs w:val="28"/>
                <w:rtl w:val="0"/>
              </w:rPr>
              <w:t xml:space="preserve">rtPA</w:t>
            </w: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Para la evaluación y estabilización inmediata se sugiere seguir los lineamientos 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ABCD: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 permeabilidad de la vía aérea, respiración-ventilación, circulación y déficit neurológico, en virtud del orden de riesgo vital. </w:t>
      </w:r>
    </w:p>
    <w:p w:rsidR="00000000" w:rsidDel="00000000" w:rsidP="00000000" w:rsidRDefault="00000000" w:rsidRPr="00000000" w14:paraId="0000003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43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Vía aérea permeable</w:t>
      </w:r>
    </w:p>
    <w:p w:rsidR="00000000" w:rsidDel="00000000" w:rsidP="00000000" w:rsidRDefault="00000000" w:rsidRPr="00000000" w14:paraId="0000003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43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Mantenimiento de la ventilación y respiración  </w:t>
      </w:r>
    </w:p>
    <w:p w:rsidR="00000000" w:rsidDel="00000000" w:rsidP="00000000" w:rsidRDefault="00000000" w:rsidRPr="00000000" w14:paraId="0000004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6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Monitoreo continuo de la frecuencia respiratoria y de la SATO2</w:t>
      </w:r>
    </w:p>
    <w:p w:rsidR="00000000" w:rsidDel="00000000" w:rsidP="00000000" w:rsidRDefault="00000000" w:rsidRPr="00000000" w14:paraId="00000042">
      <w:pPr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6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Colocar oxígeno suplementario si presenta saturación arterial de oxígeno &lt;       94%</w:t>
      </w:r>
    </w:p>
    <w:p w:rsidR="00000000" w:rsidDel="00000000" w:rsidP="00000000" w:rsidRDefault="00000000" w:rsidRPr="00000000" w14:paraId="00000043">
      <w:pPr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6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Evaluar requerimiento de intubación si Glasgow ≤ 8 puntos y colocación de sonda nasogástrica </w:t>
      </w:r>
    </w:p>
    <w:p w:rsidR="00000000" w:rsidDel="00000000" w:rsidP="00000000" w:rsidRDefault="00000000" w:rsidRPr="00000000" w14:paraId="0000004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43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Circulación: </w:t>
      </w:r>
    </w:p>
    <w:p w:rsidR="00000000" w:rsidDel="00000000" w:rsidP="00000000" w:rsidRDefault="00000000" w:rsidRPr="00000000" w14:paraId="0000004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Control estricto de la frecuencia cardíaca y de la presión arterial (PA límite 185/110   mmHg en los que van a ser sometidos a trombolisis mientras que se acepta PA límite 220/110 mmHg a los que no sean candidatos a dicho tratamiento</w:t>
      </w:r>
    </w:p>
    <w:p w:rsidR="00000000" w:rsidDel="00000000" w:rsidP="00000000" w:rsidRDefault="00000000" w:rsidRPr="00000000" w14:paraId="0000004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Colocación de 2 vías periféricas de preferencia en región antero-cubital en brazo no parético  (la derecha de calibre 18 o 16)</w:t>
      </w:r>
    </w:p>
    <w:p w:rsidR="00000000" w:rsidDel="00000000" w:rsidP="00000000" w:rsidRDefault="00000000" w:rsidRPr="00000000" w14:paraId="0000004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 Monitoreo continuo del ritmo cardíaco</w:t>
      </w:r>
    </w:p>
    <w:p w:rsidR="00000000" w:rsidDel="00000000" w:rsidP="00000000" w:rsidRDefault="00000000" w:rsidRPr="00000000" w14:paraId="0000004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Comenzar hidratación con soluciones osmóticas al 0.9% manteniendo la euvolemia. </w:t>
      </w:r>
    </w:p>
    <w:p w:rsidR="00000000" w:rsidDel="00000000" w:rsidP="00000000" w:rsidRDefault="00000000" w:rsidRPr="00000000" w14:paraId="0000004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Prueba de glucemia por punción digital con tira reactiva, con corrección inmediata de la hipoglucemia ( &lt; 60 mg/dl) o de la hiperglucemia, sugiriéndose atención en las primeras 24 horas con objetivo entre 140-180 mg/dl</w:t>
      </w:r>
    </w:p>
    <w:p w:rsidR="00000000" w:rsidDel="00000000" w:rsidP="00000000" w:rsidRDefault="00000000" w:rsidRPr="00000000" w14:paraId="0000005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Control  de la temperatura, recibiendo tratamiento si es superior a 37.5 °</w:t>
      </w:r>
    </w:p>
    <w:p w:rsidR="00000000" w:rsidDel="00000000" w:rsidP="00000000" w:rsidRDefault="00000000" w:rsidRPr="00000000" w14:paraId="0000005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“Nada por boca”, inicialmente hasta la evaluación de la deglución por técnica validada como parte del tratamiento inicial</w:t>
      </w:r>
    </w:p>
    <w:p w:rsidR="00000000" w:rsidDel="00000000" w:rsidP="00000000" w:rsidRDefault="00000000" w:rsidRPr="00000000" w14:paraId="0000005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El uso de catéteres uretrales permanentes debe ser evitado debido al riesgo de infecciones del tracto urinario</w:t>
      </w:r>
    </w:p>
    <w:p w:rsidR="00000000" w:rsidDel="00000000" w:rsidP="00000000" w:rsidRDefault="00000000" w:rsidRPr="00000000" w14:paraId="0000005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43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Neurológíco: </w:t>
      </w:r>
    </w:p>
    <w:p w:rsidR="00000000" w:rsidDel="00000000" w:rsidP="00000000" w:rsidRDefault="00000000" w:rsidRPr="00000000" w14:paraId="0000005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firstLine="0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Evaluación neurológica completa con la escala de NIHSS (</w:t>
      </w:r>
      <w:r w:rsidDel="00000000" w:rsidR="00000000" w:rsidRPr="00000000">
        <w:rPr>
          <w:i w:val="1"/>
          <w:color w:val="000000"/>
          <w:sz w:val="28"/>
          <w:szCs w:val="28"/>
          <w:rtl w:val="0"/>
        </w:rPr>
        <w:t xml:space="preserve">National Institutes of Health Stroke Scale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) </w:t>
      </w:r>
    </w:p>
    <w:p w:rsidR="00000000" w:rsidDel="00000000" w:rsidP="00000000" w:rsidRDefault="00000000" w:rsidRPr="00000000" w14:paraId="0000005A">
      <w:pPr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Escala RACE puede utilizarse para predecir obstrucción proximal de la circulación anterior. (&gt;5 ptos S:85% E:69%).</w:t>
      </w:r>
    </w:p>
    <w:p w:rsidR="00000000" w:rsidDel="00000000" w:rsidP="00000000" w:rsidRDefault="00000000" w:rsidRPr="00000000" w14:paraId="0000005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NIHSS también puede predecir obstrucción proximal de la circulación anterior ( &gt; 15 ptos S:90% E:88%)</w:t>
      </w:r>
    </w:p>
    <w:p w:rsidR="00000000" w:rsidDel="00000000" w:rsidP="00000000" w:rsidRDefault="00000000" w:rsidRPr="00000000" w14:paraId="0000005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widowControl w:val="1"/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0" w:lineRule="auto"/>
        <w:ind w:left="720" w:hanging="360"/>
        <w:rPr>
          <w:b w:val="1"/>
          <w:color w:val="000000"/>
          <w:sz w:val="28"/>
          <w:szCs w:val="28"/>
          <w:u w:val="single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ESTUDIOS COMPLEMENTARIOS </w:t>
      </w:r>
    </w:p>
    <w:p w:rsidR="00000000" w:rsidDel="00000000" w:rsidP="00000000" w:rsidRDefault="00000000" w:rsidRPr="00000000" w14:paraId="0000006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- LABORATORIO: Solicitar perfil Stroke (glucemia, hemograma, coagulograma, ionograma, urea, creatininemia, dosaje de troponina, subunidad beta)</w:t>
      </w:r>
    </w:p>
    <w:p w:rsidR="00000000" w:rsidDel="00000000" w:rsidP="00000000" w:rsidRDefault="00000000" w:rsidRPr="00000000" w14:paraId="0000006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única determinación que hay que tener siempre es la glucemia. </w:t>
      </w:r>
    </w:p>
    <w:p w:rsidR="00000000" w:rsidDel="00000000" w:rsidP="00000000" w:rsidRDefault="00000000" w:rsidRPr="00000000" w14:paraId="0000006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Coagulación y plaquetas si toma anticoagulantes o tiene antecedente de trastornos hematológico.</w:t>
      </w:r>
    </w:p>
    <w:p w:rsidR="00000000" w:rsidDel="00000000" w:rsidP="00000000" w:rsidRDefault="00000000" w:rsidRPr="00000000" w14:paraId="0000006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Subunidad Beta: mujeres en edad reproductiva</w:t>
      </w:r>
    </w:p>
    <w:p w:rsidR="00000000" w:rsidDel="00000000" w:rsidP="00000000" w:rsidRDefault="00000000" w:rsidRPr="00000000" w14:paraId="0000006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Troponina : si se sospecha IAM</w:t>
      </w:r>
    </w:p>
    <w:p w:rsidR="00000000" w:rsidDel="00000000" w:rsidP="00000000" w:rsidRDefault="00000000" w:rsidRPr="00000000" w14:paraId="0000006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El resto no hace falta esperarlo para el uso de rt-PA</w:t>
      </w:r>
    </w:p>
    <w:p w:rsidR="00000000" w:rsidDel="00000000" w:rsidP="00000000" w:rsidRDefault="00000000" w:rsidRPr="00000000" w14:paraId="0000006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– Realizar ECG y RX siempre que se justifique y no retrase el inicio del tratamiento. </w:t>
      </w:r>
    </w:p>
    <w:p w:rsidR="00000000" w:rsidDel="00000000" w:rsidP="00000000" w:rsidRDefault="00000000" w:rsidRPr="00000000" w14:paraId="0000006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  <w:sz w:val="28"/>
          <w:szCs w:val="28"/>
          <w:u w:val="single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NEUROIMAGEN</w:t>
      </w:r>
    </w:p>
    <w:p w:rsidR="00000000" w:rsidDel="00000000" w:rsidP="00000000" w:rsidRDefault="00000000" w:rsidRPr="00000000" w14:paraId="0000006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Tomografía computada</w:t>
      </w:r>
    </w:p>
    <w:p w:rsidR="00000000" w:rsidDel="00000000" w:rsidP="00000000" w:rsidRDefault="00000000" w:rsidRPr="00000000" w14:paraId="0000006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La TC sin contraste suele ser suficiente en la evaluación de los pacientes con un probable ACV agudo. Aporta información acerca de la presencia o no de tejido isquémico, la localización y tamaño de la isquemia, su distribución vascular y la presencia o no de sangrado. También permite descartar causas no vasculares de síntomas neurológicos. Los hallazgos van a depender del tiempo de evolución y del tipo de tomógrafo que se utilice.</w:t>
      </w:r>
    </w:p>
    <w:p w:rsidR="00000000" w:rsidDel="00000000" w:rsidP="00000000" w:rsidRDefault="00000000" w:rsidRPr="00000000" w14:paraId="0000007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El pedido de TC cerebral deberá ser de la siguiente manera: TC CRANEO SIN CONTRASTE CON EVENTUAL ANGIOTOMOGRAFIA (SEGÚN PROTOCOLO ACV)  INFORMANDO NIHSS Y TIEMPO DE EVOLUCION.</w:t>
      </w:r>
    </w:p>
    <w:p w:rsidR="00000000" w:rsidDel="00000000" w:rsidP="00000000" w:rsidRDefault="00000000" w:rsidRPr="00000000" w14:paraId="0000007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 su vez la TC SE DEBERA INFORMAR ASPECTS,  SI TIENE COMPROMISO DEL TERCIO DE LA CEREBRAL MEDIA Y OBTRUCCION PROXIMAL DE LA CIRCULACION ANTERIOR EN CASO DE OBJETIVARSE.</w:t>
      </w:r>
    </w:p>
    <w:p w:rsidR="00000000" w:rsidDel="00000000" w:rsidP="00000000" w:rsidRDefault="00000000" w:rsidRPr="00000000" w14:paraId="0000007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En caso de contar con familiares del paciente, mientras se realiza la neuroimagen algún médico del equipo puede realizar un check list para verificar criterios de inclusión y exclusión (ver anexo: check list)</w:t>
      </w:r>
    </w:p>
    <w:p w:rsidR="00000000" w:rsidDel="00000000" w:rsidP="00000000" w:rsidRDefault="00000000" w:rsidRPr="00000000" w14:paraId="0000007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Conducta:</w:t>
      </w:r>
    </w:p>
    <w:p w:rsidR="00000000" w:rsidDel="00000000" w:rsidP="00000000" w:rsidRDefault="00000000" w:rsidRPr="00000000" w14:paraId="0000007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hanging="36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En caso de ACV  isquémicos en paciente candidato solo a trombolíticos, comenzar tratamiento y dar aviso a terapia intermedia.</w:t>
      </w:r>
    </w:p>
    <w:p w:rsidR="00000000" w:rsidDel="00000000" w:rsidP="00000000" w:rsidRDefault="00000000" w:rsidRPr="00000000" w14:paraId="0000007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firstLine="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hanging="36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Si el paciente es candidato a trombectomia mecánica contactarse con servicios de terapia intensiva Clinica Pasteur y Clinica de Imágenes.</w:t>
      </w:r>
    </w:p>
    <w:p w:rsidR="00000000" w:rsidDel="00000000" w:rsidP="00000000" w:rsidRDefault="00000000" w:rsidRPr="00000000" w14:paraId="0000008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hanging="36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En caso de paciente con  ACV isquémico no  candidato   a reperfusión, se dará aviso a Clínica Médica. </w:t>
      </w:r>
    </w:p>
    <w:p w:rsidR="00000000" w:rsidDel="00000000" w:rsidP="00000000" w:rsidRDefault="00000000" w:rsidRPr="00000000" w14:paraId="0000008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firstLine="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hanging="360"/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En caso de ACV hemorrágico se dará aviso al servicio de neurocirugía y a terapia intermedia.</w:t>
      </w:r>
    </w:p>
    <w:p w:rsidR="00000000" w:rsidDel="00000000" w:rsidP="00000000" w:rsidRDefault="00000000" w:rsidRPr="00000000" w14:paraId="0000008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hanging="360"/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En caso de ACV que requiera instrumentación de la vía aérea se dará aviso a terapia intensiva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8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26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La ventana terapéutica determina la estrategia de tratamiento de reperfusión en los pacientes con ACVi agudo de la siguiente manera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: </w:t>
      </w:r>
    </w:p>
    <w:p w:rsidR="00000000" w:rsidDel="00000000" w:rsidP="00000000" w:rsidRDefault="00000000" w:rsidRPr="00000000" w14:paraId="00000089">
      <w:pPr>
        <w:widowControl w:val="1"/>
        <w:ind w:firstLine="24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widowControl w:val="1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Ventana &lt; 4.5 horas se recomienda el tratamiento con rtPA IV</w:t>
      </w:r>
    </w:p>
    <w:p w:rsidR="00000000" w:rsidDel="00000000" w:rsidP="00000000" w:rsidRDefault="00000000" w:rsidRPr="00000000" w14:paraId="0000008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widowControl w:val="1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Ventana &lt; 4.5 horas y OGVC se recomienda tratamiento con rtPA IV seguido de TM.</w:t>
      </w:r>
    </w:p>
    <w:p w:rsidR="00000000" w:rsidDel="00000000" w:rsidP="00000000" w:rsidRDefault="00000000" w:rsidRPr="00000000" w14:paraId="0000008D">
      <w:pPr>
        <w:widowControl w:val="1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widowControl w:val="1"/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Ventana &lt; 6 horas, OGVC y contraindicación para tratamiento con rtPA IV se recomienda TM</w:t>
      </w:r>
    </w:p>
    <w:p w:rsidR="00000000" w:rsidDel="00000000" w:rsidP="00000000" w:rsidRDefault="00000000" w:rsidRPr="00000000" w14:paraId="0000008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b w:val="1"/>
          <w:color w:val="000000"/>
          <w:sz w:val="36"/>
          <w:szCs w:val="36"/>
          <w:u w:val="single"/>
          <w:rtl w:val="0"/>
        </w:rPr>
        <w:t xml:space="preserve">ALGORITMO DE STROKE</w:t>
      </w:r>
    </w:p>
    <w:p w:rsidR="00000000" w:rsidDel="00000000" w:rsidP="00000000" w:rsidRDefault="00000000" w:rsidRPr="00000000" w14:paraId="0000009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2616200</wp:posOffset>
                </wp:positionH>
                <wp:positionV relativeFrom="paragraph">
                  <wp:posOffset>190500</wp:posOffset>
                </wp:positionV>
                <wp:extent cx="2162810" cy="3096895"/>
                <wp:effectExtent b="0" l="0" r="0" t="0"/>
                <wp:wrapNone/>
                <wp:docPr id="30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64595" y="2231553"/>
                          <a:ext cx="2162810" cy="3096895"/>
                          <a:chOff x="4264595" y="2231553"/>
                          <a:chExt cx="2162810" cy="3096895"/>
                        </a:xfrm>
                      </wpg:grpSpPr>
                      <wpg:grpSp>
                        <wpg:cNvGrpSpPr/>
                        <wpg:grpSpPr>
                          <a:xfrm>
                            <a:off x="4264595" y="2231553"/>
                            <a:ext cx="2162810" cy="3096895"/>
                            <a:chOff x="0" y="0"/>
                            <a:chExt cx="2162755" cy="2182516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2162750" cy="2182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7951" y="0"/>
                              <a:ext cx="2154804" cy="985962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Sospecha de accidente cerebrovascular.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MENOS DE 6 HORAS DE EVOLUCION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(ACV en periodo ventana)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977845" y="1066212"/>
                              <a:ext cx="491490" cy="344805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chemeClr val="accent1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1581807"/>
                              <a:ext cx="2154554" cy="600709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TC SIN SIGNOS DE HEMORRAGIA.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ANGIOTOMOGRAFIA DE VASOS DE CUELLO Y CEREBRAL (OGVC?)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2616200</wp:posOffset>
                </wp:positionH>
                <wp:positionV relativeFrom="paragraph">
                  <wp:posOffset>190500</wp:posOffset>
                </wp:positionV>
                <wp:extent cx="2162810" cy="3096895"/>
                <wp:effectExtent b="0" l="0" r="0" t="0"/>
                <wp:wrapNone/>
                <wp:docPr id="30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2810" cy="30968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  <w:sz w:val="32"/>
          <w:szCs w:val="32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127000</wp:posOffset>
                </wp:positionH>
                <wp:positionV relativeFrom="paragraph">
                  <wp:posOffset>215900</wp:posOffset>
                </wp:positionV>
                <wp:extent cx="2489835" cy="3122930"/>
                <wp:effectExtent b="0" l="0" r="0" t="0"/>
                <wp:wrapNone/>
                <wp:docPr id="30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01083" y="2218535"/>
                          <a:ext cx="2489835" cy="3122930"/>
                          <a:chOff x="4101083" y="2218535"/>
                          <a:chExt cx="2489835" cy="3122930"/>
                        </a:xfrm>
                      </wpg:grpSpPr>
                      <wpg:grpSp>
                        <wpg:cNvGrpSpPr/>
                        <wpg:grpSpPr>
                          <a:xfrm>
                            <a:off x="4101083" y="2218535"/>
                            <a:ext cx="2489835" cy="3122930"/>
                            <a:chOff x="0" y="-166251"/>
                            <a:chExt cx="2490074" cy="312348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-166251"/>
                              <a:ext cx="2490050" cy="3123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9" name="Shape 9"/>
                          <wps:spPr>
                            <a:xfrm>
                              <a:off x="111291" y="2496146"/>
                              <a:ext cx="2265210" cy="461091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Considere tratamiento con  rtPA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Trombolisis endovenosa </w:t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(TEV)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10" name="Shape 10"/>
                          <wps:spPr>
                            <a:xfrm>
                              <a:off x="0" y="-166251"/>
                              <a:ext cx="1473779" cy="603185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Sin oclusión vascular de vasos carotideos y/o M1;M2 de ACM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11" name="Shape 11"/>
                          <wps:spPr>
                            <a:xfrm>
                              <a:off x="0" y="1081179"/>
                              <a:ext cx="1089104" cy="631937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Menos de </w:t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3hs.</w:t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 Sin criterios de exclusión.  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1287838" y="1053305"/>
                              <a:ext cx="1202236" cy="631824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Entre </w:t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3 y 4.5 hs</w:t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. Sin criterios de exclusión 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 rot="939790">
                              <a:off x="488645" y="442015"/>
                              <a:ext cx="118333" cy="586879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chemeClr val="accent1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 rot="-1762015">
                              <a:off x="1362032" y="422380"/>
                              <a:ext cx="132972" cy="572135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429370" y="2115047"/>
                              <a:ext cx="224155" cy="370840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1653871" y="1916265"/>
                              <a:ext cx="224155" cy="568905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127000</wp:posOffset>
                </wp:positionH>
                <wp:positionV relativeFrom="paragraph">
                  <wp:posOffset>215900</wp:posOffset>
                </wp:positionV>
                <wp:extent cx="2489835" cy="3122930"/>
                <wp:effectExtent b="0" l="0" r="0" t="0"/>
                <wp:wrapNone/>
                <wp:docPr id="30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89835" cy="31229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3327400</wp:posOffset>
                </wp:positionH>
                <wp:positionV relativeFrom="paragraph">
                  <wp:posOffset>152400</wp:posOffset>
                </wp:positionV>
                <wp:extent cx="3810635" cy="4770120"/>
                <wp:effectExtent b="0" l="0" r="0" t="0"/>
                <wp:wrapNone/>
                <wp:docPr id="30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40683" y="1394940"/>
                          <a:ext cx="3810635" cy="4770120"/>
                          <a:chOff x="3440683" y="1394940"/>
                          <a:chExt cx="3810635" cy="4770120"/>
                        </a:xfrm>
                      </wpg:grpSpPr>
                      <wpg:grpSp>
                        <wpg:cNvGrpSpPr/>
                        <wpg:grpSpPr>
                          <a:xfrm>
                            <a:off x="3440683" y="1394940"/>
                            <a:ext cx="3810635" cy="4770120"/>
                            <a:chOff x="-103108" y="0"/>
                            <a:chExt cx="3811458" cy="4770562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-103108" y="0"/>
                              <a:ext cx="3811450" cy="4770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1955425" y="0"/>
                              <a:ext cx="1548185" cy="731871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Con oclusión vascular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Vasos carotideos  y/o  M1; M2 de ACM 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739472" y="1574359"/>
                              <a:ext cx="1612265" cy="353060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Menos de 4.5 hs.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0" name="Shape 20"/>
                          <wps:spPr>
                            <a:xfrm>
                              <a:off x="2618691" y="1562467"/>
                              <a:ext cx="1089659" cy="601954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Entre 4.5 y 6 hs. Sin criterios de exclusión 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1" name="Shape 21"/>
                          <wps:spPr>
                            <a:xfrm>
                              <a:off x="795131" y="4460682"/>
                              <a:ext cx="2526665" cy="309880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Considere trombectomia mecánica </w:t>
                                </w: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(TM)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2" name="Shape 22"/>
                          <wps:spPr>
                            <a:xfrm>
                              <a:off x="2782491" y="890732"/>
                              <a:ext cx="163161" cy="511206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3" name="Shape 23"/>
                          <wps:spPr>
                            <a:xfrm rot="1802575">
                              <a:off x="2135168" y="792059"/>
                              <a:ext cx="151276" cy="795116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4" name="Shape 24"/>
                          <wps:spPr>
                            <a:xfrm>
                              <a:off x="3004034" y="2246497"/>
                              <a:ext cx="186362" cy="2127288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5" name="Shape 25"/>
                          <wps:spPr>
                            <a:xfrm>
                              <a:off x="-103108" y="2709666"/>
                              <a:ext cx="1487263" cy="675114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Verifique criterios de inclusión-exclusion y realice rtPA.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6" name="Shape 26"/>
                          <wps:spPr>
                            <a:xfrm>
                              <a:off x="955407" y="3539174"/>
                              <a:ext cx="149197" cy="834612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7" name="Shape 27"/>
                          <wps:spPr>
                            <a:xfrm>
                              <a:off x="1603362" y="2708636"/>
                              <a:ext cx="1187284" cy="569249"/>
                            </a:xfrm>
                            <a:prstGeom prst="rect">
                              <a:avLst/>
                            </a:prstGeom>
                            <a:solidFill>
                              <a:srgbClr val="FDE9D8"/>
                            </a:solidFill>
                            <a:ln cap="flat" cmpd="sng" w="28575">
                              <a:solidFill>
                                <a:srgbClr val="E36C09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Contraindicaion  para rtPA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>
                            <a:noAutofit/>
                          </wps:bodyPr>
                        </wps:wsp>
                        <wps:wsp>
                          <wps:cNvSpPr/>
                          <wps:cNvPr id="28" name="Shape 28"/>
                          <wps:spPr>
                            <a:xfrm>
                              <a:off x="1914045" y="1927419"/>
                              <a:ext cx="144306" cy="709147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9" name="Shape 29"/>
                          <wps:spPr>
                            <a:xfrm>
                              <a:off x="902951" y="1924216"/>
                              <a:ext cx="134133" cy="712350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rgbClr val="4F81BD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0" name="Shape 30"/>
                          <wps:spPr>
                            <a:xfrm>
                              <a:off x="1955722" y="3408534"/>
                              <a:ext cx="190436" cy="965253"/>
                            </a:xfrm>
                            <a:prstGeom prst="downArrow">
                              <a:avLst>
                                <a:gd fmla="val 50000" name="adj1"/>
                                <a:gd fmla="val 50000" name="adj2"/>
                              </a:avLst>
                            </a:prstGeom>
                            <a:solidFill>
                              <a:schemeClr val="accent1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3327400</wp:posOffset>
                </wp:positionH>
                <wp:positionV relativeFrom="paragraph">
                  <wp:posOffset>152400</wp:posOffset>
                </wp:positionV>
                <wp:extent cx="3810635" cy="4770120"/>
                <wp:effectExtent b="0" l="0" r="0" t="0"/>
                <wp:wrapNone/>
                <wp:docPr id="303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10635" cy="47701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12700</wp:posOffset>
                </wp:positionV>
                <wp:extent cx="3881120" cy="381635"/>
                <wp:effectExtent b="0" l="0" r="0" t="0"/>
                <wp:wrapNone/>
                <wp:docPr id="301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3418140" y="3601883"/>
                          <a:ext cx="3855720" cy="356235"/>
                        </a:xfrm>
                        <a:prstGeom prst="leftRight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chemeClr val="accent1"/>
                        </a:solidFill>
                        <a:ln cap="flat" cmpd="sng" w="254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12700</wp:posOffset>
                </wp:positionV>
                <wp:extent cx="3881120" cy="381635"/>
                <wp:effectExtent b="0" l="0" r="0" t="0"/>
                <wp:wrapNone/>
                <wp:docPr id="301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81120" cy="3816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b w:val="1"/>
          <w:color w:val="000000"/>
          <w:sz w:val="32"/>
          <w:szCs w:val="32"/>
          <w:u w:val="single"/>
          <w:rtl w:val="0"/>
        </w:rPr>
        <w:t xml:space="preserve">Trombolísis sistémica :  Alteplase rtPA</w:t>
      </w:r>
    </w:p>
    <w:p w:rsidR="00000000" w:rsidDel="00000000" w:rsidP="00000000" w:rsidRDefault="00000000" w:rsidRPr="00000000" w14:paraId="000000B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i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8"/>
          <w:szCs w:val="28"/>
        </w:rPr>
      </w:pPr>
      <w:r w:rsidDel="00000000" w:rsidR="00000000" w:rsidRPr="00000000">
        <w:rPr>
          <w:i w:val="1"/>
          <w:color w:val="000000"/>
          <w:sz w:val="28"/>
          <w:szCs w:val="28"/>
          <w:rtl w:val="0"/>
        </w:rPr>
        <w:t xml:space="preserve">Protocolo de administración del activador tisular del plasminógeno endovenoso en el ACV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198.0" w:type="dxa"/>
        <w:jc w:val="left"/>
        <w:tblInd w:w="0.0" w:type="dxa"/>
        <w:tbl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H w:color="c0504d" w:space="0" w:sz="8" w:val="single"/>
          <w:insideV w:color="c0504d" w:space="0" w:sz="8" w:val="single"/>
        </w:tblBorders>
        <w:tblLayout w:type="fixed"/>
        <w:tblLook w:val="0400"/>
      </w:tblPr>
      <w:tblGrid>
        <w:gridCol w:w="4066"/>
        <w:gridCol w:w="5132"/>
        <w:tblGridChange w:id="0">
          <w:tblGrid>
            <w:gridCol w:w="4066"/>
            <w:gridCol w:w="5132"/>
          </w:tblGrid>
        </w:tblGridChange>
      </w:tblGrid>
      <w:tr>
        <w:trPr>
          <w:trHeight w:val="520" w:hRule="atLeast"/>
        </w:trPr>
        <w:tc>
          <w:tcPr/>
          <w:p w:rsidR="00000000" w:rsidDel="00000000" w:rsidP="00000000" w:rsidRDefault="00000000" w:rsidRPr="00000000" w14:paraId="000000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1209"/>
              </w:tabs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1209"/>
              </w:tabs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Dosis recomendada</w:t>
            </w:r>
          </w:p>
        </w:tc>
        <w:tc>
          <w:tcPr/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0.9 mg/kg/dosis – Dosis máxima 90 mg              </w:t>
            </w:r>
          </w:p>
        </w:tc>
      </w:tr>
      <w:tr>
        <w:trPr>
          <w:trHeight w:val="1460" w:hRule="atLeast"/>
        </w:trPr>
        <w:tc>
          <w:tcPr/>
          <w:p w:rsidR="00000000" w:rsidDel="00000000" w:rsidP="00000000" w:rsidRDefault="00000000" w:rsidRPr="00000000" w14:paraId="000000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Distribución de la dosis</w:t>
            </w:r>
          </w:p>
        </w:tc>
        <w:tc>
          <w:tcPr/>
          <w:p w:rsidR="00000000" w:rsidDel="00000000" w:rsidP="00000000" w:rsidRDefault="00000000" w:rsidRPr="00000000" w14:paraId="000000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10% en bolo intravenoso en un minuto  90% en infusión continua durante una hora</w:t>
            </w:r>
          </w:p>
        </w:tc>
      </w:tr>
      <w:tr>
        <w:trPr>
          <w:trHeight w:val="1680" w:hRule="atLeast"/>
        </w:trPr>
        <w:tc>
          <w:tcPr/>
          <w:p w:rsidR="00000000" w:rsidDel="00000000" w:rsidP="00000000" w:rsidRDefault="00000000" w:rsidRPr="00000000" w14:paraId="000000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Monitoreo de  TA</w:t>
            </w:r>
          </w:p>
        </w:tc>
        <w:tc>
          <w:tcPr/>
          <w:p w:rsidR="00000000" w:rsidDel="00000000" w:rsidP="00000000" w:rsidRDefault="00000000" w:rsidRPr="00000000" w14:paraId="000000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Cada 15 minutos durante la infusión y hasta 2 horas posteriores  luego cada 30 minutos  por 6 horas y por último cada 1 hora hasta 24 horas de la infusión</w:t>
            </w:r>
          </w:p>
        </w:tc>
      </w:tr>
      <w:tr>
        <w:trPr>
          <w:trHeight w:val="60" w:hRule="atLeast"/>
        </w:trPr>
        <w:tc>
          <w:tcPr/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Evaluación neurológica NIHSS</w:t>
            </w:r>
          </w:p>
        </w:tc>
        <w:tc>
          <w:tcPr/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Cada 15 minutos durante la infusión, y luego en forma horaria</w:t>
            </w:r>
          </w:p>
        </w:tc>
      </w:tr>
    </w:tbl>
    <w:p w:rsidR="00000000" w:rsidDel="00000000" w:rsidP="00000000" w:rsidRDefault="00000000" w:rsidRPr="00000000" w14:paraId="000000D1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>
          <w:b w:val="1"/>
          <w:color w:val="000000"/>
          <w:sz w:val="28"/>
          <w:szCs w:val="28"/>
        </w:rPr>
      </w:pPr>
      <w:bookmarkStart w:colFirst="0" w:colLast="0" w:name="_heading=h.30j0zll" w:id="1"/>
      <w:bookmarkEnd w:id="1"/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USO DE RTPA (ALTEPLASE)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56.0" w:type="dxa"/>
        <w:jc w:val="left"/>
        <w:tblInd w:w="108.0" w:type="dxa"/>
        <w:tblBorders>
          <w:top w:color="e36c09" w:space="0" w:sz="4" w:val="single"/>
          <w:left w:color="e36c09" w:space="0" w:sz="4" w:val="single"/>
          <w:bottom w:color="e36c09" w:space="0" w:sz="4" w:val="single"/>
          <w:right w:color="e36c09" w:space="0" w:sz="4" w:val="single"/>
          <w:insideH w:color="e36c09" w:space="0" w:sz="4" w:val="single"/>
          <w:insideV w:color="e36c09" w:space="0" w:sz="4" w:val="single"/>
        </w:tblBorders>
        <w:tblLayout w:type="fixed"/>
        <w:tblLook w:val="0400"/>
      </w:tblPr>
      <w:tblGrid>
        <w:gridCol w:w="7938"/>
        <w:gridCol w:w="709"/>
        <w:gridCol w:w="709"/>
        <w:tblGridChange w:id="0">
          <w:tblGrid>
            <w:gridCol w:w="7938"/>
            <w:gridCol w:w="709"/>
            <w:gridCol w:w="709"/>
          </w:tblGrid>
        </w:tblGridChange>
      </w:tblGrid>
      <w:tr>
        <w:trPr>
          <w:trHeight w:val="580" w:hRule="atLeast"/>
        </w:trPr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CRITERIOS  DE  INCLUSIÓN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i w:val="1"/>
                <w:sz w:val="28"/>
                <w:szCs w:val="28"/>
                <w:rtl w:val="0"/>
              </w:rPr>
              <w:t xml:space="preserve">SI</w:t>
            </w:r>
          </w:p>
        </w:tc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i w:val="1"/>
                <w:sz w:val="28"/>
                <w:szCs w:val="28"/>
                <w:rtl w:val="0"/>
              </w:rPr>
              <w:t xml:space="preserve">NO</w:t>
            </w:r>
          </w:p>
        </w:tc>
      </w:tr>
      <w:tr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Pacientes con signos de Ataque Cerebral de menos de 4,5 horas de evolución </w:t>
            </w:r>
          </w:p>
        </w:tc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Edad mayor a 18 años                                                                                 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8"/>
                <w:szCs w:val="28"/>
                <w:rtl w:val="0"/>
              </w:rPr>
              <w:t xml:space="preserve">clase I 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cdb" w:val="clear"/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D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jc w:val="both"/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20.000000000002" w:type="dxa"/>
        <w:jc w:val="left"/>
        <w:tblInd w:w="0.0" w:type="dxa"/>
        <w:tbl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H w:color="c0504d" w:space="0" w:sz="8" w:val="single"/>
          <w:insideV w:color="c0504d" w:space="0" w:sz="8" w:val="single"/>
        </w:tblBorders>
        <w:tblLayout w:type="fixed"/>
        <w:tblLook w:val="0400"/>
      </w:tblPr>
      <w:tblGrid>
        <w:gridCol w:w="8396"/>
        <w:gridCol w:w="572"/>
        <w:gridCol w:w="652"/>
        <w:tblGridChange w:id="0">
          <w:tblGrid>
            <w:gridCol w:w="8396"/>
            <w:gridCol w:w="572"/>
            <w:gridCol w:w="652"/>
          </w:tblGrid>
        </w:tblGridChange>
      </w:tblGrid>
      <w:tr>
        <w:tc>
          <w:tcPr/>
          <w:p w:rsidR="00000000" w:rsidDel="00000000" w:rsidP="00000000" w:rsidRDefault="00000000" w:rsidRPr="00000000" w14:paraId="000000E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CONTRAINDICACIONES DE TROMBOLITICOS</w:t>
            </w:r>
          </w:p>
          <w:p w:rsidR="00000000" w:rsidDel="00000000" w:rsidP="00000000" w:rsidRDefault="00000000" w:rsidRPr="00000000" w14:paraId="000000F1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SI</w:t>
            </w:r>
          </w:p>
        </w:tc>
        <w:tc>
          <w:tcPr/>
          <w:p w:rsidR="00000000" w:rsidDel="00000000" w:rsidP="00000000" w:rsidRDefault="00000000" w:rsidRPr="00000000" w14:paraId="000000F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NO</w:t>
            </w:r>
          </w:p>
        </w:tc>
      </w:tr>
      <w:tr>
        <w:tc>
          <w:tcPr/>
          <w:p w:rsidR="00000000" w:rsidDel="00000000" w:rsidP="00000000" w:rsidRDefault="00000000" w:rsidRPr="00000000" w14:paraId="000000F6">
            <w:pPr>
              <w:jc w:val="both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Hemorragia en tc de cerebro                                                         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clase III C</w:t>
            </w:r>
          </w:p>
          <w:p w:rsidR="00000000" w:rsidDel="00000000" w:rsidP="00000000" w:rsidRDefault="00000000" w:rsidRPr="00000000" w14:paraId="000000F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F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Historia previa de hemorragia intracerebral                              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clase III 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F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Trauma de cráneo moderado o grave en los últimos 3 meses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clase III 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0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ACV isquémico en los últimos 3 meses                                      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clase  III 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0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Tumor de cerebro intraaxial                                                          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clase III 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0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Síntomas sugestivos de HSA    clase III C</w:t>
            </w:r>
          </w:p>
          <w:p w:rsidR="00000000" w:rsidDel="00000000" w:rsidP="00000000" w:rsidRDefault="00000000" w:rsidRPr="00000000" w14:paraId="0000010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0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Cirugía intracerebral o intraespinal dentro de los últimos 3 meses</w:t>
            </w:r>
          </w:p>
          <w:p w:rsidR="00000000" w:rsidDel="00000000" w:rsidP="00000000" w:rsidRDefault="00000000" w:rsidRPr="00000000" w14:paraId="0000010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Clase III C</w:t>
            </w:r>
          </w:p>
        </w:tc>
        <w:tc>
          <w:tcPr/>
          <w:p w:rsidR="00000000" w:rsidDel="00000000" w:rsidP="00000000" w:rsidRDefault="00000000" w:rsidRPr="00000000" w14:paraId="00000110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1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Evidencia de hemorragia activa</w:t>
            </w:r>
          </w:p>
          <w:p w:rsidR="00000000" w:rsidDel="00000000" w:rsidP="00000000" w:rsidRDefault="00000000" w:rsidRPr="00000000" w14:paraId="0000011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1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Neoplasia gastrointestinal o sangrado dentro de los últimos 21 días</w:t>
            </w:r>
          </w:p>
          <w:p w:rsidR="00000000" w:rsidDel="00000000" w:rsidP="00000000" w:rsidRDefault="00000000" w:rsidRPr="00000000" w14:paraId="0000011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Clase III C</w:t>
            </w:r>
          </w:p>
        </w:tc>
        <w:tc>
          <w:tcPr/>
          <w:p w:rsidR="00000000" w:rsidDel="00000000" w:rsidP="00000000" w:rsidRDefault="00000000" w:rsidRPr="00000000" w14:paraId="00000118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9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1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Glucemia menor de 50 mg/dl (criterio de inclusión glucemia &gt; 50 mg/dl)</w:t>
            </w:r>
          </w:p>
          <w:p w:rsidR="00000000" w:rsidDel="00000000" w:rsidP="00000000" w:rsidRDefault="00000000" w:rsidRPr="00000000" w14:paraId="0000011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1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Endocarditis Infecciosa                                                                   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clase III 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1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2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Disección del arco aórtico                                                               </w:t>
            </w:r>
            <w:r w:rsidDel="00000000" w:rsidR="00000000" w:rsidRPr="00000000">
              <w:rPr>
                <w:rFonts w:ascii="Cambria" w:cs="Cambria" w:eastAsia="Cambria" w:hAnsi="Cambria"/>
                <w:sz w:val="28"/>
                <w:szCs w:val="28"/>
                <w:rtl w:val="0"/>
              </w:rPr>
              <w:t xml:space="preserve">clase III 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4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5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2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TAS &gt; 185mm hg o TAD &gt; a 110 mmhg a pesar de antihipertensivos</w:t>
            </w:r>
          </w:p>
        </w:tc>
        <w:tc>
          <w:tcPr/>
          <w:p w:rsidR="00000000" w:rsidDel="00000000" w:rsidP="00000000" w:rsidRDefault="00000000" w:rsidRPr="00000000" w14:paraId="00000127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</w:tcPr>
          <w:p w:rsidR="00000000" w:rsidDel="00000000" w:rsidP="00000000" w:rsidRDefault="00000000" w:rsidRPr="00000000" w14:paraId="0000012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Diátesis hemorrágica conocida activa: </w:t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Plaquetas &lt; 100000 (no se espera lab por ser situación poco frecuente)</w:t>
            </w:r>
          </w:p>
          <w:p w:rsidR="00000000" w:rsidDel="00000000" w:rsidP="00000000" w:rsidRDefault="00000000" w:rsidRPr="00000000" w14:paraId="0000012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Tratamiento con heparinas en las ultimas 48 hs, con KPTT elevado &gt; 40</w:t>
            </w:r>
          </w:p>
          <w:p w:rsidR="00000000" w:rsidDel="00000000" w:rsidP="00000000" w:rsidRDefault="00000000" w:rsidRPr="00000000" w14:paraId="0000012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keepNext w:val="0"/>
              <w:keepLines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Uso actual de anticoagulantes oral y RIN &gt; a 1,7 o TP &gt; a 15</w:t>
            </w:r>
          </w:p>
          <w:p w:rsidR="00000000" w:rsidDel="00000000" w:rsidP="00000000" w:rsidRDefault="00000000" w:rsidRPr="00000000" w14:paraId="0000013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Uso de HPBPM en dosis terapéutica en las ultimas 24 hs       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clase III 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Uso actual de inhibidores de la trombina (dabigatran, ribaroxaban) dentro de las ultimas 48 hs                                                            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clase III C</w:t>
            </w:r>
          </w:p>
          <w:p w:rsidR="00000000" w:rsidDel="00000000" w:rsidP="00000000" w:rsidRDefault="00000000" w:rsidRPr="00000000" w14:paraId="00000134">
            <w:pPr>
              <w:jc w:val="both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6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A">
            <w:pPr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B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544.0" w:type="dxa"/>
        <w:jc w:val="left"/>
        <w:tblInd w:w="0.0" w:type="dxa"/>
        <w:tbl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H w:color="c0504d" w:space="0" w:sz="8" w:val="single"/>
          <w:insideV w:color="c0504d" w:space="0" w:sz="8" w:val="single"/>
        </w:tblBorders>
        <w:tblLayout w:type="fixed"/>
        <w:tblLook w:val="0400"/>
      </w:tblPr>
      <w:tblGrid>
        <w:gridCol w:w="9544"/>
        <w:tblGridChange w:id="0">
          <w:tblGrid>
            <w:gridCol w:w="9544"/>
          </w:tblGrid>
        </w:tblGridChange>
      </w:tblGrid>
      <w:tr>
        <w:tc>
          <w:tcPr/>
          <w:p w:rsidR="00000000" w:rsidDel="00000000" w:rsidP="00000000" w:rsidRDefault="00000000" w:rsidRPr="00000000" w14:paraId="0000013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CRITERIOS DE EXCLUSIÓN PARA VENTANA EXTENDIDA  (3 A 4.5 HORAS)</w:t>
            </w:r>
          </w:p>
        </w:tc>
      </w:tr>
      <w:tr>
        <w:trPr>
          <w:trHeight w:val="1300" w:hRule="atLeast"/>
        </w:trPr>
        <w:tc>
          <w:tcPr/>
          <w:p w:rsidR="00000000" w:rsidDel="00000000" w:rsidP="00000000" w:rsidRDefault="00000000" w:rsidRPr="00000000" w14:paraId="0000013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Absolutos </w:t>
            </w:r>
          </w:p>
          <w:p w:rsidR="00000000" w:rsidDel="00000000" w:rsidP="00000000" w:rsidRDefault="00000000" w:rsidRPr="00000000" w14:paraId="00000141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600" w:hanging="36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NIHSS &gt; 25</w:t>
            </w:r>
          </w:p>
          <w:p w:rsidR="00000000" w:rsidDel="00000000" w:rsidP="00000000" w:rsidRDefault="00000000" w:rsidRPr="00000000" w14:paraId="00000142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600" w:hanging="36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Compromiso mayor de 1/3 del territorio de la arteria cerebral media</w:t>
            </w:r>
          </w:p>
          <w:p w:rsidR="00000000" w:rsidDel="00000000" w:rsidP="00000000" w:rsidRDefault="00000000" w:rsidRPr="00000000" w14:paraId="00000143">
            <w:pPr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44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Relativos </w:t>
            </w:r>
          </w:p>
          <w:p w:rsidR="00000000" w:rsidDel="00000000" w:rsidP="00000000" w:rsidRDefault="00000000" w:rsidRPr="00000000" w14:paraId="00000146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09" w:hanging="425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Edad &gt; 80 años, DBT y  acv previo (considerar cada caso particular clase IIa B, evaluar rankin)</w:t>
            </w:r>
          </w:p>
          <w:p w:rsidR="00000000" w:rsidDel="00000000" w:rsidP="00000000" w:rsidRDefault="00000000" w:rsidRPr="00000000" w14:paraId="00000147">
            <w:pPr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425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Uso de anticoagulantes orales  con RIN &gt; 1,7</w:t>
            </w:r>
          </w:p>
          <w:p w:rsidR="00000000" w:rsidDel="00000000" w:rsidP="00000000" w:rsidRDefault="00000000" w:rsidRPr="00000000" w14:paraId="000001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firstLine="0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A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558.0" w:type="dxa"/>
        <w:jc w:val="left"/>
        <w:tblInd w:w="0.0" w:type="dxa"/>
        <w:tbl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H w:color="c0504d" w:space="0" w:sz="8" w:val="single"/>
          <w:insideV w:color="c0504d" w:space="0" w:sz="8" w:val="single"/>
        </w:tblBorders>
        <w:tblLayout w:type="fixed"/>
        <w:tblLook w:val="0400"/>
      </w:tblPr>
      <w:tblGrid>
        <w:gridCol w:w="9558"/>
        <w:tblGridChange w:id="0">
          <w:tblGrid>
            <w:gridCol w:w="9558"/>
          </w:tblGrid>
        </w:tblGridChange>
      </w:tblGrid>
      <w:tr>
        <w:tc>
          <w:tcPr/>
          <w:p w:rsidR="00000000" w:rsidDel="00000000" w:rsidP="00000000" w:rsidRDefault="00000000" w:rsidRPr="00000000" w14:paraId="00000153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Consideraciones adicionales</w:t>
            </w:r>
          </w:p>
        </w:tc>
      </w:tr>
      <w:tr>
        <w:tc>
          <w:tcPr/>
          <w:p w:rsidR="00000000" w:rsidDel="00000000" w:rsidP="00000000" w:rsidRDefault="00000000" w:rsidRPr="00000000" w14:paraId="000001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firstLine="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firstLine="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Síntomas menores o rápida mejoría de los síntomas de manera espontánea (excepto presencia de afasia o déficit menor incapacitante) </w:t>
            </w:r>
          </w:p>
          <w:p w:rsidR="00000000" w:rsidDel="00000000" w:rsidP="00000000" w:rsidRDefault="00000000" w:rsidRPr="00000000" w14:paraId="000001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9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Punción arterial en sitio no compresible 7 dias previos            clase IIb C</w:t>
            </w:r>
          </w:p>
          <w:p w:rsidR="00000000" w:rsidDel="00000000" w:rsidP="00000000" w:rsidRDefault="00000000" w:rsidRPr="00000000" w14:paraId="000001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B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Convulsión con estado post ictal presenciada al inicio del ACV (se indica rtPA en caso de convulsiones probables secundarias al ACV y no a un estado post ictal)                                                                             clase IIa C</w:t>
            </w:r>
          </w:p>
          <w:p w:rsidR="00000000" w:rsidDel="00000000" w:rsidP="00000000" w:rsidRDefault="00000000" w:rsidRPr="00000000" w14:paraId="000001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Cirugía mayor o trauma grave dentro de los últimos 14 días (CRM, cesárea, biopsia de órgano )                                                                         clase  IIb C</w:t>
            </w:r>
          </w:p>
          <w:p w:rsidR="00000000" w:rsidDel="00000000" w:rsidP="00000000" w:rsidRDefault="00000000" w:rsidRPr="00000000" w14:paraId="000001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Antecedente de Hemorragia  del tracto urinario                      clase IIb C</w:t>
            </w:r>
          </w:p>
          <w:p w:rsidR="00000000" w:rsidDel="00000000" w:rsidP="00000000" w:rsidRDefault="00000000" w:rsidRPr="00000000" w14:paraId="000001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Trauma mayor (sin tec) dentro de los últimos 14 días </w:t>
            </w:r>
          </w:p>
          <w:p w:rsidR="00000000" w:rsidDel="00000000" w:rsidP="00000000" w:rsidRDefault="00000000" w:rsidRPr="00000000" w14:paraId="000001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3">
            <w:pPr>
              <w:ind w:left="720" w:firstLine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IAM agudo                                                                                           clase IIa C</w:t>
            </w:r>
          </w:p>
          <w:p w:rsidR="00000000" w:rsidDel="00000000" w:rsidP="00000000" w:rsidRDefault="00000000" w:rsidRPr="00000000" w14:paraId="000001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firstLine="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IAM dentro de los ultimos 3 meses</w:t>
            </w:r>
          </w:p>
          <w:p w:rsidR="00000000" w:rsidDel="00000000" w:rsidP="00000000" w:rsidRDefault="00000000" w:rsidRPr="00000000" w14:paraId="00000167">
            <w:pPr>
              <w:ind w:left="720" w:firstLine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Presencia de aneurismas gigantes intracraneanos  no rotos  (&gt; 10 mm)</w:t>
            </w:r>
          </w:p>
          <w:p w:rsidR="00000000" w:rsidDel="00000000" w:rsidP="00000000" w:rsidRDefault="00000000" w:rsidRPr="00000000" w14:paraId="000001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Embarazo: considerar cuando la gravedad del ACV excede el riesgo de sangrado uterino (no teratogenico)                                               clase IIb C</w:t>
            </w:r>
          </w:p>
          <w:p w:rsidR="00000000" w:rsidDel="00000000" w:rsidP="00000000" w:rsidRDefault="00000000" w:rsidRPr="00000000" w14:paraId="000001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D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Postparto temprano (&lt;14 días): seguridad no establecida (consultar urgente con obstetra, cesarea? Peridural?)                                 clase IIb 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F">
      <w:pPr>
        <w:jc w:val="both"/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570"/>
        </w:tabs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17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  <w:sz w:val="28"/>
          <w:szCs w:val="28"/>
        </w:rPr>
      </w:pPr>
      <w:r w:rsidDel="00000000" w:rsidR="00000000" w:rsidRPr="00000000">
        <w:rPr>
          <w:rFonts w:ascii="Helvetica Neue" w:cs="Helvetica Neue" w:eastAsia="Helvetica Neue" w:hAnsi="Helvetica Neue"/>
          <w:color w:val="000000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17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Helvetica Neue" w:cs="Helvetica Neue" w:eastAsia="Helvetica Neue" w:hAnsi="Helvetica Neue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widowControl w:val="1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600" w:hanging="36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Otras condiciones donde se debe evaluar costo beneficio </w:t>
      </w:r>
    </w:p>
    <w:p w:rsidR="00000000" w:rsidDel="00000000" w:rsidP="00000000" w:rsidRDefault="00000000" w:rsidRPr="00000000" w14:paraId="0000017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  <w:sectPr>
          <w:pgSz w:h="15840" w:w="12240" w:orient="portrait"/>
          <w:pgMar w:bottom="720" w:top="720" w:left="720" w:right="72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Punción lumbar dentro de los 7 días </w:t>
      </w:r>
    </w:p>
    <w:p w:rsidR="00000000" w:rsidDel="00000000" w:rsidP="00000000" w:rsidRDefault="00000000" w:rsidRPr="00000000" w14:paraId="0000017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Pericarditis aguda </w:t>
      </w:r>
    </w:p>
    <w:p w:rsidR="00000000" w:rsidDel="00000000" w:rsidP="00000000" w:rsidRDefault="00000000" w:rsidRPr="00000000" w14:paraId="0000017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Diálisis peritoneal </w:t>
      </w:r>
    </w:p>
    <w:p w:rsidR="00000000" w:rsidDel="00000000" w:rsidP="00000000" w:rsidRDefault="00000000" w:rsidRPr="00000000" w14:paraId="0000017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Alteración hepática o renal </w:t>
      </w:r>
    </w:p>
    <w:p w:rsidR="00000000" w:rsidDel="00000000" w:rsidP="00000000" w:rsidRDefault="00000000" w:rsidRPr="00000000" w14:paraId="0000018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Retinopatía hemorrágica diabética u otra condición oftalmológica hemorrágica </w:t>
      </w:r>
    </w:p>
    <w:p w:rsidR="00000000" w:rsidDel="00000000" w:rsidP="00000000" w:rsidRDefault="00000000" w:rsidRPr="00000000" w14:paraId="0000018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Tromboflebitis séptica o fistula arteriovenosa ocluida en sitio infectado evidente </w:t>
      </w:r>
    </w:p>
    <w:p w:rsidR="00000000" w:rsidDel="00000000" w:rsidP="00000000" w:rsidRDefault="00000000" w:rsidRPr="00000000" w14:paraId="0000018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Expectativa de vida menor a 1 año o comorbilidades graves </w:t>
      </w:r>
    </w:p>
    <w:p w:rsidR="00000000" w:rsidDel="00000000" w:rsidP="00000000" w:rsidRDefault="00000000" w:rsidRPr="00000000" w14:paraId="0000018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Masaje cardíaco 10 días previos </w:t>
      </w:r>
    </w:p>
    <w:p w:rsidR="00000000" w:rsidDel="00000000" w:rsidP="00000000" w:rsidRDefault="00000000" w:rsidRPr="00000000" w14:paraId="0000018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Metrorragia activa </w:t>
      </w:r>
    </w:p>
    <w:p w:rsidR="00000000" w:rsidDel="00000000" w:rsidP="00000000" w:rsidRDefault="00000000" w:rsidRPr="00000000" w14:paraId="0000018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44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Anemia grave o shock</w:t>
      </w:r>
    </w:p>
    <w:p w:rsidR="00000000" w:rsidDel="00000000" w:rsidP="00000000" w:rsidRDefault="00000000" w:rsidRPr="00000000" w14:paraId="0000018C">
      <w:pPr>
        <w:jc w:val="both"/>
        <w:rPr>
          <w:rFonts w:ascii="Arial" w:cs="Arial" w:eastAsia="Arial" w:hAnsi="Arial"/>
          <w:color w:val="000000"/>
        </w:rPr>
        <w:sectPr>
          <w:type w:val="continuous"/>
          <w:pgSz w:h="15840" w:w="12240" w:orient="portrait"/>
          <w:pgMar w:bottom="720" w:top="720" w:left="720" w:right="720" w:header="0" w:footer="0"/>
          <w:pgNumType w:start="1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jc w:val="center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TROMBECTOMIA MECANICA</w:t>
      </w:r>
    </w:p>
    <w:p w:rsidR="00000000" w:rsidDel="00000000" w:rsidP="00000000" w:rsidRDefault="00000000" w:rsidRPr="00000000" w14:paraId="0000018E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widowControl w:val="1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Se recomienda que todo paciente con indicación de tratamiento con rtPA endovenoso reciba dicho tratamiento, aun si la TM se encuentra disponible  </w:t>
      </w:r>
    </w:p>
    <w:p w:rsidR="00000000" w:rsidDel="00000000" w:rsidP="00000000" w:rsidRDefault="00000000" w:rsidRPr="00000000" w14:paraId="00000190">
      <w:pPr>
        <w:widowControl w:val="1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widowControl w:val="1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TM para aquellos que cumplen de forma simultánea todos los siguientes criterios </w:t>
      </w:r>
    </w:p>
    <w:p w:rsidR="00000000" w:rsidDel="00000000" w:rsidP="00000000" w:rsidRDefault="00000000" w:rsidRPr="00000000" w14:paraId="00000192">
      <w:pPr>
        <w:widowControl w:val="1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67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Edad ≥ 18 años </w:t>
      </w:r>
    </w:p>
    <w:p w:rsidR="00000000" w:rsidDel="00000000" w:rsidP="00000000" w:rsidRDefault="00000000" w:rsidRPr="00000000" w14:paraId="00000194">
      <w:pPr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67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Previamente independientes: escala mRS ≤ 1 </w:t>
      </w:r>
    </w:p>
    <w:p w:rsidR="00000000" w:rsidDel="00000000" w:rsidP="00000000" w:rsidRDefault="00000000" w:rsidRPr="00000000" w14:paraId="00000195">
      <w:pPr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67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Tiempo de evolución desde inicio hasta punción arterial menor a 6 horas </w:t>
      </w:r>
    </w:p>
    <w:p w:rsidR="00000000" w:rsidDel="00000000" w:rsidP="00000000" w:rsidRDefault="00000000" w:rsidRPr="00000000" w14:paraId="00000196">
      <w:pPr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67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NIHSS ≥ 6 </w:t>
      </w:r>
    </w:p>
    <w:p w:rsidR="00000000" w:rsidDel="00000000" w:rsidP="00000000" w:rsidRDefault="00000000" w:rsidRPr="00000000" w14:paraId="00000197">
      <w:pPr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67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Oclusión aislada de arteria carótida interna distal o ACM proximal (M1; M2) </w:t>
      </w:r>
    </w:p>
    <w:p w:rsidR="00000000" w:rsidDel="00000000" w:rsidP="00000000" w:rsidRDefault="00000000" w:rsidRPr="00000000" w14:paraId="00000198">
      <w:pPr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567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TC basal sin alteraciones o con ASPECTS ≥ 6 </w:t>
      </w:r>
    </w:p>
    <w:p w:rsidR="00000000" w:rsidDel="00000000" w:rsidP="00000000" w:rsidRDefault="00000000" w:rsidRPr="00000000" w14:paraId="00000199">
      <w:pPr>
        <w:keepNext w:val="0"/>
        <w:keepLines w:val="0"/>
        <w:widowControl w:val="1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edad elevada por sí sola no es una razón para evitar la TM como un tratamiento complementario </w:t>
      </w:r>
    </w:p>
    <w:p w:rsidR="00000000" w:rsidDel="00000000" w:rsidP="00000000" w:rsidRDefault="00000000" w:rsidRPr="00000000" w14:paraId="0000019A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jc w:val="both"/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544.0" w:type="dxa"/>
        <w:jc w:val="left"/>
        <w:tblInd w:w="0.0" w:type="dxa"/>
        <w:tbl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H w:color="c0504d" w:space="0" w:sz="8" w:val="single"/>
          <w:insideV w:color="c0504d" w:space="0" w:sz="8" w:val="single"/>
        </w:tblBorders>
        <w:tblLayout w:type="fixed"/>
        <w:tblLook w:val="04A0"/>
      </w:tblPr>
      <w:tblGrid>
        <w:gridCol w:w="9544"/>
        <w:tblGridChange w:id="0">
          <w:tblGrid>
            <w:gridCol w:w="9544"/>
          </w:tblGrid>
        </w:tblGridChange>
      </w:tblGrid>
      <w:tr>
        <w:tc>
          <w:tcPr/>
          <w:p w:rsidR="00000000" w:rsidDel="00000000" w:rsidP="00000000" w:rsidRDefault="00000000" w:rsidRPr="00000000" w14:paraId="0000019C">
            <w:pPr>
              <w:jc w:val="center"/>
              <w:rPr>
                <w:sz w:val="32"/>
                <w:szCs w:val="3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jc w:val="center"/>
              <w:rPr>
                <w:sz w:val="32"/>
                <w:szCs w:val="32"/>
                <w:u w:val="single"/>
              </w:rPr>
            </w:pPr>
            <w:r w:rsidDel="00000000" w:rsidR="00000000" w:rsidRPr="00000000">
              <w:rPr>
                <w:b w:val="0"/>
                <w:sz w:val="32"/>
                <w:szCs w:val="32"/>
                <w:u w:val="single"/>
                <w:rtl w:val="0"/>
              </w:rPr>
              <w:t xml:space="preserve">Contraindicaciones para la trombectomía mecánica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E">
            <w:pPr>
              <w:jc w:val="center"/>
              <w:rPr>
                <w:sz w:val="32"/>
                <w:szCs w:val="3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9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b w:val="0"/>
                <w:sz w:val="28"/>
                <w:szCs w:val="28"/>
                <w:rtl w:val="0"/>
              </w:rPr>
              <w:t xml:space="preserve"> Recuento de plaquetas &lt; 30 000/mm3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1">
            <w:pP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A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b w:val="0"/>
                <w:sz w:val="28"/>
                <w:szCs w:val="28"/>
                <w:rtl w:val="0"/>
              </w:rPr>
              <w:t xml:space="preserve"> Tratamiento con heparina y TTPa mayor al doble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A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b w:val="0"/>
                <w:sz w:val="28"/>
                <w:szCs w:val="28"/>
                <w:rtl w:val="0"/>
              </w:rPr>
              <w:t xml:space="preserve"> Tratamiento con anticoagulantes orales y RIN &gt; 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8">
      <w:pPr>
        <w:jc w:val="center"/>
        <w:rPr>
          <w:rFonts w:ascii="Arial" w:cs="Arial" w:eastAsia="Arial" w:hAnsi="Arial"/>
          <w:color w:val="000000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u w:val="single"/>
          <w:rtl w:val="0"/>
        </w:rPr>
        <w:t xml:space="preserve">Complicaciones del uso de rtpa</w:t>
      </w:r>
    </w:p>
    <w:p w:rsidR="00000000" w:rsidDel="00000000" w:rsidP="00000000" w:rsidRDefault="00000000" w:rsidRPr="00000000" w14:paraId="000001A9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Hemorrágicas</w:t>
      </w:r>
    </w:p>
    <w:p w:rsidR="00000000" w:rsidDel="00000000" w:rsidP="00000000" w:rsidRDefault="00000000" w:rsidRPr="00000000" w14:paraId="000001A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Las complicaciones hemorrágicas de la trombolisis ocurren con mayor frecuencia en 24 horas después de iniciar la terapia.</w:t>
      </w:r>
    </w:p>
    <w:p w:rsidR="00000000" w:rsidDel="00000000" w:rsidP="00000000" w:rsidRDefault="00000000" w:rsidRPr="00000000" w14:paraId="000001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27" w:firstLine="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Si durante la administración del trombolitico se presenta:  </w:t>
      </w:r>
    </w:p>
    <w:p w:rsidR="00000000" w:rsidDel="00000000" w:rsidP="00000000" w:rsidRDefault="00000000" w:rsidRPr="00000000" w14:paraId="000001A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deterioro del estado neurológico (incremento score NIHSS en 4 puntos), nauseas, vómitos, cefalea, disminución del nivel de conciencia y elevación brusca de la presión arterial.</w:t>
      </w:r>
    </w:p>
    <w:p w:rsidR="00000000" w:rsidDel="00000000" w:rsidP="00000000" w:rsidRDefault="00000000" w:rsidRPr="00000000" w14:paraId="000001A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Interrumpir la infusión a la primera señal de deterioro neurológico o evidencia de sangrado significativo.</w:t>
      </w:r>
    </w:p>
    <w:p w:rsidR="00000000" w:rsidDel="00000000" w:rsidP="00000000" w:rsidRDefault="00000000" w:rsidRPr="00000000" w14:paraId="000001B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Asegurar vía aérea y reanimación con cristaloides a través de dos vías periféricas intravenosas.</w:t>
      </w:r>
    </w:p>
    <w:p w:rsidR="00000000" w:rsidDel="00000000" w:rsidP="00000000" w:rsidRDefault="00000000" w:rsidRPr="00000000" w14:paraId="000001B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Realizar TC craneal para confirmar el sangrado.</w:t>
      </w:r>
    </w:p>
    <w:p w:rsidR="00000000" w:rsidDel="00000000" w:rsidP="00000000" w:rsidRDefault="00000000" w:rsidRPr="00000000" w14:paraId="000001B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Solicitar laboratorio: hematocrito, TP, KPTT, recuento de plaquetas, fibrinógeno.</w:t>
      </w:r>
    </w:p>
    <w:p w:rsidR="00000000" w:rsidDel="00000000" w:rsidP="00000000" w:rsidRDefault="00000000" w:rsidRPr="00000000" w14:paraId="000001B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Dar 6 A 8 Unidades de crioprecipitado si está disponible ó 2 a 3 unidades de plasma fresco congelado. </w:t>
      </w:r>
    </w:p>
    <w:p w:rsidR="00000000" w:rsidDel="00000000" w:rsidP="00000000" w:rsidRDefault="00000000" w:rsidRPr="00000000" w14:paraId="000001B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Si el estado clínico continúa deteriorándose después de cuatro a seis horas, dar productos de la sangre de acuerdo a los resultados del panel de coagulación.</w:t>
      </w:r>
    </w:p>
    <w:p w:rsidR="00000000" w:rsidDel="00000000" w:rsidP="00000000" w:rsidRDefault="00000000" w:rsidRPr="00000000" w14:paraId="000001B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Repita crioprecipitado si fibrinógeno es bajo, dar plasma fresco si TP o KPTT son anormales. Infundir seis a ocho unidades de plaquetas si el recuento es bajo.</w:t>
      </w:r>
    </w:p>
    <w:p w:rsidR="00000000" w:rsidDel="00000000" w:rsidP="00000000" w:rsidRDefault="00000000" w:rsidRPr="00000000" w14:paraId="000001B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Darle concentrado de glóbulos rojos para mantener hematocrito dentro del rango normal.</w:t>
      </w:r>
    </w:p>
    <w:p w:rsidR="00000000" w:rsidDel="00000000" w:rsidP="00000000" w:rsidRDefault="00000000" w:rsidRPr="00000000" w14:paraId="000001B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Utilizar la reanimación con cristaloides y/o agentes vasoactivos para tratar la hipotensión.  Evite líquidos hipotónicos</w:t>
      </w:r>
    </w:p>
    <w:p w:rsidR="00000000" w:rsidDel="00000000" w:rsidP="00000000" w:rsidRDefault="00000000" w:rsidRPr="00000000" w14:paraId="000001B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En caso de hemorragia del sistema nervioso central, realizar consulta con neurocirugía</w:t>
      </w:r>
    </w:p>
    <w:p w:rsidR="00000000" w:rsidDel="00000000" w:rsidP="00000000" w:rsidRDefault="00000000" w:rsidRPr="00000000" w14:paraId="000001B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Considerar reiniciar infusión de trombolítico si TC no muestra evidencia de hemorragia intracraneal. (No se aconseja si se interrumpe por &gt; de 10 minutos para obtener la TC) </w:t>
      </w:r>
    </w:p>
    <w:p w:rsidR="00000000" w:rsidDel="00000000" w:rsidP="00000000" w:rsidRDefault="00000000" w:rsidRPr="00000000" w14:paraId="000001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jc w:val="both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AngioedemaOrolingual</w:t>
      </w:r>
    </w:p>
    <w:p w:rsidR="00000000" w:rsidDel="00000000" w:rsidP="00000000" w:rsidRDefault="00000000" w:rsidRPr="00000000" w14:paraId="000001BD">
      <w:pPr>
        <w:jc w:val="both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Según el estudio CASES, esta complicación puede surgir en aproximadamente el 5% de los pacientes que reciben rtPA intravenoso. El uso de inhibidores de la enzima convertidora de angiotensina es considerado un factor de riesgo. El curso clínico suele ser favorable.</w:t>
      </w:r>
    </w:p>
    <w:p w:rsidR="00000000" w:rsidDel="00000000" w:rsidP="00000000" w:rsidRDefault="00000000" w:rsidRPr="00000000" w14:paraId="000001BF">
      <w:pPr>
        <w:jc w:val="center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ANEXOS</w:t>
      </w:r>
    </w:p>
    <w:p w:rsidR="00000000" w:rsidDel="00000000" w:rsidP="00000000" w:rsidRDefault="00000000" w:rsidRPr="00000000" w14:paraId="000001C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Anexo 1: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Laboratorio de ingreso:  </w:t>
      </w:r>
    </w:p>
    <w:p w:rsidR="00000000" w:rsidDel="00000000" w:rsidP="00000000" w:rsidRDefault="00000000" w:rsidRPr="00000000" w14:paraId="000001C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851" w:firstLine="0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Hemograma, glucemia, ionograma, urea, creatinina, troponina, coagulograma, RIN. Test de embarazo</w:t>
      </w:r>
    </w:p>
    <w:p w:rsidR="00000000" w:rsidDel="00000000" w:rsidP="00000000" w:rsidRDefault="00000000" w:rsidRPr="00000000" w14:paraId="000001C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Anexo 2: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    </w:t>
      </w:r>
    </w:p>
    <w:p w:rsidR="00000000" w:rsidDel="00000000" w:rsidP="00000000" w:rsidRDefault="00000000" w:rsidRPr="00000000" w14:paraId="000001C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En la actualidad se acepta el tratamiento con rtPA a aquellos con los siguientes déficits neurológicos con riesgo de discapacidad y NIHSS &lt;  5 con:</w:t>
      </w:r>
    </w:p>
    <w:p w:rsidR="00000000" w:rsidDel="00000000" w:rsidP="00000000" w:rsidRDefault="00000000" w:rsidRPr="00000000" w14:paraId="000001C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 – Hemianopsia completa o bilateral (≥ 2 puntos en el ítem 3 del NIHSS) </w:t>
      </w:r>
    </w:p>
    <w:p w:rsidR="00000000" w:rsidDel="00000000" w:rsidP="00000000" w:rsidRDefault="00000000" w:rsidRPr="00000000" w14:paraId="000001C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– Afasia grave, afasia global o mutismo (≥ 2 puntos en el ítem 9 del NIHSS) </w:t>
      </w:r>
    </w:p>
    <w:p w:rsidR="00000000" w:rsidDel="00000000" w:rsidP="00000000" w:rsidRDefault="00000000" w:rsidRPr="00000000" w14:paraId="000001C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– Extinción visual o sensitiva (≥ 1 puntos en el ítem 11 del NIHSS) </w:t>
      </w:r>
    </w:p>
    <w:p w:rsidR="00000000" w:rsidDel="00000000" w:rsidP="00000000" w:rsidRDefault="00000000" w:rsidRPr="00000000" w14:paraId="000001C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– Cualquier debilidad que limite el esfuerzo sostenido contra la gravedad (≥ 2 puntos en los ítems 5 o 6 del NIHSS)</w:t>
      </w:r>
    </w:p>
    <w:p w:rsidR="00000000" w:rsidDel="00000000" w:rsidP="00000000" w:rsidRDefault="00000000" w:rsidRPr="00000000" w14:paraId="000001C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Anexo 3: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Candidatos a tromboliticos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: </w:t>
      </w:r>
    </w:p>
    <w:p w:rsidR="00000000" w:rsidDel="00000000" w:rsidP="00000000" w:rsidRDefault="00000000" w:rsidRPr="00000000" w14:paraId="000001D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i w:val="1"/>
          <w:color w:val="000000"/>
          <w:sz w:val="28"/>
          <w:szCs w:val="28"/>
          <w:rtl w:val="0"/>
        </w:rPr>
        <w:t xml:space="preserve">Manejo de TA previo a la infusión de rtPA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: </w:t>
      </w:r>
    </w:p>
    <w:p w:rsidR="00000000" w:rsidDel="00000000" w:rsidP="00000000" w:rsidRDefault="00000000" w:rsidRPr="00000000" w14:paraId="000001D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Si TAS &gt;185mmHg o TAD &gt;110 mm Hg: </w:t>
      </w:r>
    </w:p>
    <w:p w:rsidR="00000000" w:rsidDel="00000000" w:rsidP="00000000" w:rsidRDefault="00000000" w:rsidRPr="00000000" w14:paraId="000001D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Labetalol 10 a 20 mg ev a pasar en 1 o 2 minutos hasta 2 dosis , seguido de una infusión iv continúa de 2 a 8 mg/hora.</w:t>
      </w:r>
    </w:p>
    <w:p w:rsidR="00000000" w:rsidDel="00000000" w:rsidP="00000000" w:rsidRDefault="00000000" w:rsidRPr="00000000" w14:paraId="000001D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NPS (50mg) diluido en 25ml de Dextrosa 5%, infusión iv: 0.5-8ug/kg/min</w:t>
      </w:r>
    </w:p>
    <w:p w:rsidR="00000000" w:rsidDel="00000000" w:rsidP="00000000" w:rsidRDefault="00000000" w:rsidRPr="00000000" w14:paraId="000001D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i w:val="1"/>
          <w:color w:val="000000"/>
          <w:sz w:val="28"/>
          <w:szCs w:val="28"/>
        </w:rPr>
      </w:pPr>
      <w:r w:rsidDel="00000000" w:rsidR="00000000" w:rsidRPr="00000000">
        <w:rPr>
          <w:i w:val="1"/>
          <w:color w:val="000000"/>
          <w:sz w:val="28"/>
          <w:szCs w:val="28"/>
          <w:rtl w:val="0"/>
        </w:rPr>
        <w:t xml:space="preserve">Manejo de la Presión Arterial durante y después de la infusión de rtPA:</w:t>
      </w:r>
    </w:p>
    <w:p w:rsidR="00000000" w:rsidDel="00000000" w:rsidP="00000000" w:rsidRDefault="00000000" w:rsidRPr="00000000" w14:paraId="000001D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i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Medir la TA cada 15 minutos en las primeras 2 hs</w:t>
      </w:r>
    </w:p>
    <w:p w:rsidR="00000000" w:rsidDel="00000000" w:rsidP="00000000" w:rsidRDefault="00000000" w:rsidRPr="00000000" w14:paraId="000001D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Medir TA cada 30 minutos en las 6 hs posteriores</w:t>
      </w:r>
    </w:p>
    <w:p w:rsidR="00000000" w:rsidDel="00000000" w:rsidP="00000000" w:rsidRDefault="00000000" w:rsidRPr="00000000" w14:paraId="000001D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Si TA &gt;180mm Hg o TAD &gt;105 mm Hg:</w:t>
      </w:r>
    </w:p>
    <w:p w:rsidR="00000000" w:rsidDel="00000000" w:rsidP="00000000" w:rsidRDefault="00000000" w:rsidRPr="00000000" w14:paraId="000001D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Labetalol 10 a 20 mg ev a pasar en 1 o 2 minutos, hasta 2 dosis. , seguido de una infusión iv continúa de 2 a 8 mg/hora.</w:t>
      </w:r>
    </w:p>
    <w:p w:rsidR="00000000" w:rsidDel="00000000" w:rsidP="00000000" w:rsidRDefault="00000000" w:rsidRPr="00000000" w14:paraId="000001E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NPS (50mg) diluido en 25ml de Dextrosa 5%, infusión iv: 0.5-8ug/kg/min</w:t>
      </w:r>
    </w:p>
    <w:p w:rsidR="00000000" w:rsidDel="00000000" w:rsidP="00000000" w:rsidRDefault="00000000" w:rsidRPr="00000000" w14:paraId="000001E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Anexo 4 :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 Escala de Rankin modificado  </w:t>
      </w:r>
    </w:p>
    <w:p w:rsidR="00000000" w:rsidDel="00000000" w:rsidP="00000000" w:rsidRDefault="00000000" w:rsidRPr="00000000" w14:paraId="000001E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0. Asintomático</w:t>
      </w:r>
    </w:p>
    <w:p w:rsidR="00000000" w:rsidDel="00000000" w:rsidP="00000000" w:rsidRDefault="00000000" w:rsidRPr="00000000" w14:paraId="000001E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1. Sin incapacidad significativa. Síntomas y síntomas. Realiza actividades laborales y sociales</w:t>
      </w:r>
    </w:p>
    <w:p w:rsidR="00000000" w:rsidDel="00000000" w:rsidP="00000000" w:rsidRDefault="00000000" w:rsidRPr="00000000" w14:paraId="000001E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2. Discapacidad leve. Incapaz de realizar todas las actividades previa, pero atiende sus asuntos sin ayuda</w:t>
      </w:r>
    </w:p>
    <w:p w:rsidR="00000000" w:rsidDel="00000000" w:rsidP="00000000" w:rsidRDefault="00000000" w:rsidRPr="00000000" w14:paraId="000001E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3. Discapacidad moderada. Camina sin ayuda de otra persona. Precisa ayuda para algunas tareas. Necesidad de cuidador al menos 2 veces en semana</w:t>
      </w:r>
    </w:p>
    <w:p w:rsidR="00000000" w:rsidDel="00000000" w:rsidP="00000000" w:rsidRDefault="00000000" w:rsidRPr="00000000" w14:paraId="000001E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4. Discapacidad moderadamente grave. Incapaz de andar y de atender satisfactoriamente sus necesidades. Precisa ayuda para caminar y para actividades básicas. Cuidador 1 vez/día</w:t>
      </w:r>
    </w:p>
    <w:p w:rsidR="00000000" w:rsidDel="00000000" w:rsidP="00000000" w:rsidRDefault="00000000" w:rsidRPr="00000000" w14:paraId="000001E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5. Discapacidad grave: encamado, incontinente. Atención constante</w:t>
      </w:r>
    </w:p>
    <w:p w:rsidR="00000000" w:rsidDel="00000000" w:rsidP="00000000" w:rsidRDefault="00000000" w:rsidRPr="00000000" w14:paraId="000001E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6. Éxitus</w:t>
      </w:r>
    </w:p>
    <w:p w:rsidR="00000000" w:rsidDel="00000000" w:rsidP="00000000" w:rsidRDefault="00000000" w:rsidRPr="00000000" w14:paraId="000001E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720"/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b w:val="1"/>
          <w:color w:val="00000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Anexo 5: 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ASPECTS (Alberta Stroke Program Early CT Score).  </w:t>
      </w:r>
    </w:p>
    <w:p w:rsidR="00000000" w:rsidDel="00000000" w:rsidP="00000000" w:rsidRDefault="00000000" w:rsidRPr="00000000" w14:paraId="000001F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/>
        <w:drawing>
          <wp:inline distB="0" distT="0" distL="0" distR="0">
            <wp:extent cx="6055360" cy="3384655"/>
            <wp:effectExtent b="0" l="0" r="0" t="0"/>
            <wp:docPr descr="Resultado de imagen para aspects score" id="306" name="image4.jpg"/>
            <a:graphic>
              <a:graphicData uri="http://schemas.openxmlformats.org/drawingml/2006/picture">
                <pic:pic>
                  <pic:nvPicPr>
                    <pic:cNvPr descr="Resultado de imagen para aspects score" id="0" name="image4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55360" cy="33846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Evalúa la afectación isquémica del territorio de la ACM en 10 regiones</w:t>
      </w:r>
    </w:p>
    <w:p w:rsidR="00000000" w:rsidDel="00000000" w:rsidP="00000000" w:rsidRDefault="00000000" w:rsidRPr="00000000" w14:paraId="000001F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TC: normal:10 puntos</w:t>
      </w:r>
    </w:p>
    <w:p w:rsidR="00000000" w:rsidDel="00000000" w:rsidP="00000000" w:rsidRDefault="00000000" w:rsidRPr="00000000" w14:paraId="000001F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Se resta un punto por cada región con signos precoces de isquemia</w:t>
      </w:r>
    </w:p>
    <w:p w:rsidR="00000000" w:rsidDel="00000000" w:rsidP="00000000" w:rsidRDefault="00000000" w:rsidRPr="00000000" w14:paraId="000001F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ASPECTS: &gt;  7 afectación de menos de 1/3 del territorio de la ACM</w:t>
      </w:r>
    </w:p>
    <w:p w:rsidR="00000000" w:rsidDel="00000000" w:rsidP="00000000" w:rsidRDefault="00000000" w:rsidRPr="00000000" w14:paraId="000001F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ASPECTS:&lt; o = 7 afectación superior a 1/3 del territorio de la ACM</w:t>
      </w:r>
    </w:p>
    <w:p w:rsidR="00000000" w:rsidDel="00000000" w:rsidP="00000000" w:rsidRDefault="00000000" w:rsidRPr="00000000" w14:paraId="000001F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u w:val="single"/>
          <w:rtl w:val="0"/>
        </w:rPr>
        <w:t xml:space="preserve">Anexo 6</w:t>
      </w:r>
      <w:r w:rsidDel="00000000" w:rsidR="00000000" w:rsidRPr="00000000">
        <w:rPr>
          <w:color w:val="000000"/>
          <w:sz w:val="28"/>
          <w:szCs w:val="28"/>
          <w:rtl w:val="0"/>
        </w:rPr>
        <w:t xml:space="preserve">: Escala de Race</w:t>
      </w:r>
      <w:r w:rsidDel="00000000" w:rsidR="00000000" w:rsidRPr="00000000">
        <w:rPr>
          <w:color w:val="000000"/>
          <w:sz w:val="28"/>
          <w:szCs w:val="28"/>
        </w:rPr>
        <w:drawing>
          <wp:inline distB="0" distT="0" distL="0" distR="0">
            <wp:extent cx="5964084" cy="7001316"/>
            <wp:effectExtent b="0" l="0" r="0" t="0"/>
            <wp:docPr id="30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64084" cy="70013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766.000000000002" w:type="dxa"/>
        <w:jc w:val="left"/>
        <w:tblInd w:w="0.0" w:type="dxa"/>
        <w:tbl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H w:color="c0504d" w:space="0" w:sz="8" w:val="single"/>
          <w:insideV w:color="c0504d" w:space="0" w:sz="8" w:val="single"/>
        </w:tblBorders>
        <w:tblLayout w:type="fixed"/>
        <w:tblLook w:val="0400"/>
      </w:tblPr>
      <w:tblGrid>
        <w:gridCol w:w="4466"/>
        <w:gridCol w:w="2175"/>
        <w:gridCol w:w="347"/>
        <w:gridCol w:w="347"/>
        <w:gridCol w:w="347"/>
        <w:gridCol w:w="347"/>
        <w:gridCol w:w="347"/>
        <w:gridCol w:w="347"/>
        <w:gridCol w:w="347"/>
        <w:gridCol w:w="348"/>
        <w:gridCol w:w="348"/>
        <w:tblGridChange w:id="0">
          <w:tblGrid>
            <w:gridCol w:w="4466"/>
            <w:gridCol w:w="2175"/>
            <w:gridCol w:w="347"/>
            <w:gridCol w:w="347"/>
            <w:gridCol w:w="347"/>
            <w:gridCol w:w="347"/>
            <w:gridCol w:w="347"/>
            <w:gridCol w:w="347"/>
            <w:gridCol w:w="347"/>
            <w:gridCol w:w="348"/>
            <w:gridCol w:w="348"/>
          </w:tblGrid>
        </w:tblGridChange>
      </w:tblGrid>
      <w:tr>
        <w:trPr>
          <w:trHeight w:val="60" w:hRule="atLeast"/>
        </w:trPr>
        <w:tc>
          <w:tcPr>
            <w:tcBorders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Escala NIHSS  (National Institute of Health Stroke Scale)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5">
            <w:pPr>
              <w:jc w:val="center"/>
              <w:rPr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i w:val="1"/>
                <w:sz w:val="16"/>
                <w:szCs w:val="16"/>
                <w:rtl w:val="0"/>
              </w:rPr>
              <w:t xml:space="preserve">HORAS</w:t>
            </w:r>
          </w:p>
        </w:tc>
      </w:tr>
      <w:tr>
        <w:trPr>
          <w:trHeight w:val="60" w:hRule="atLeast"/>
        </w:trPr>
        <w:tc>
          <w:tcPr>
            <w:tcBorders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rPr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i w:val="1"/>
                <w:sz w:val="16"/>
                <w:szCs w:val="16"/>
                <w:rtl w:val="0"/>
              </w:rPr>
              <w:t xml:space="preserve">FECHA: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" w:hRule="atLeast"/>
        </w:trPr>
        <w:tc>
          <w:tcPr>
            <w:vMerge w:val="restart"/>
            <w:tcBorders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1a)  NIVEL DE CONCIENCIA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1">
            <w:pPr>
              <w:rPr>
                <w:rFonts w:ascii="Century Gothic" w:cs="Century Gothic" w:eastAsia="Century Gothic" w:hAnsi="Century Gothic"/>
                <w:sz w:val="16"/>
                <w:szCs w:val="16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6"/>
                <w:szCs w:val="16"/>
                <w:rtl w:val="0"/>
              </w:rPr>
              <w:t xml:space="preserve">Alerta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trHeight w:val="60" w:hRule="atLeast"/>
        </w:trPr>
        <w:tc>
          <w:tcPr>
            <w:vMerge w:val="continue"/>
            <w:tcBorders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Somnolencia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trHeight w:val="60" w:hRule="atLeast"/>
        </w:trPr>
        <w:tc>
          <w:tcPr>
            <w:vMerge w:val="continue"/>
            <w:tcBorders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Obnubilación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d9d9d9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trHeight w:val="60" w:hRule="atLeast"/>
        </w:trPr>
        <w:tc>
          <w:tcPr>
            <w:vMerge w:val="continue"/>
            <w:tcBorders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Coma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spacing w:after="120" w:lineRule="auto"/>
              <w:ind w:left="318" w:hanging="318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1b)NIVEL DE CONCIENCIA- PREG. VERBALES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D">
            <w:pPr>
              <w:ind w:left="176" w:firstLine="0"/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¿En qué mes vivimos? ¿Qué edad tiene?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Ambas respuestas son correctas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Una respuesta correcta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Ninguna respuesta correcta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trHeight w:val="300" w:hRule="atLeast"/>
        </w:trP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spacing w:after="60" w:lineRule="auto"/>
              <w:ind w:left="318" w:hanging="318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1c)NIVEL DE CONCIENCIA- ORDENES MOTORAS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F">
            <w:pPr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60" w:hanging="218"/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Cierre los ojos, después ábralos.</w:t>
            </w:r>
          </w:p>
          <w:p w:rsidR="00000000" w:rsidDel="00000000" w:rsidP="00000000" w:rsidRDefault="00000000" w:rsidRPr="00000000" w14:paraId="00000260">
            <w:pPr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Rule="auto"/>
              <w:ind w:left="460" w:hanging="218"/>
              <w:rPr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Cierre las manos, después ábralas.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Ambas respuestas son correctas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Una respuesta correcta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Ninguna respuesta correcta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trHeight w:val="280" w:hRule="atLeast"/>
        </w:trP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1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2)MIRADA CONJUGADA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2">
            <w:pPr>
              <w:ind w:left="176" w:firstLine="0"/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(voluntariamente/reflejos oculocefálicos, no permitidos oculovestibulares)</w:t>
            </w:r>
          </w:p>
          <w:p w:rsidR="00000000" w:rsidDel="00000000" w:rsidP="00000000" w:rsidRDefault="00000000" w:rsidRPr="00000000" w14:paraId="00000283">
            <w:pPr>
              <w:ind w:left="176" w:firstLine="0"/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lesión de un nervio periférico= 1 pto.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trHeight w:val="28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Paresia parcial de la mirada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trHeight w:val="8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Paresia total o desviación forzada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3)  CAMPOS VISULAES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 (confrontación)</w:t>
            </w:r>
          </w:p>
          <w:p w:rsidR="00000000" w:rsidDel="00000000" w:rsidP="00000000" w:rsidRDefault="00000000" w:rsidRPr="00000000" w14:paraId="000002A5">
            <w:pPr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ceguera bilateral de cualquier causa= 3 pts</w:t>
            </w:r>
          </w:p>
          <w:p w:rsidR="00000000" w:rsidDel="00000000" w:rsidP="00000000" w:rsidRDefault="00000000" w:rsidRPr="00000000" w14:paraId="000002A6">
            <w:pPr>
              <w:ind w:left="176" w:firstLine="0"/>
              <w:rPr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extinción visual= 1 pto.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Normal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A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Hemianopsia parcial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B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Hemianopsia completa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B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trHeight w:val="16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Ceguera bilateral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C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C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D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</w:tcPr>
          <w:p w:rsidR="00000000" w:rsidDel="00000000" w:rsidP="00000000" w:rsidRDefault="00000000" w:rsidRPr="00000000" w14:paraId="000002D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4) PARESIA FACIAL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Normal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Paresia leve (asimetría al sonreír)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Parálisis total de músc. Facial inferior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Parálisis total de músc. Facial inf. ysup.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trHeight w:val="240" w:hRule="atLeast"/>
        </w:trP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spacing w:after="120" w:lineRule="auto"/>
              <w:ind w:left="318" w:hanging="318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5)PARESIA DE EXTREMIDADES SUPERIORES  (ES)</w:t>
            </w:r>
          </w:p>
          <w:p w:rsidR="00000000" w:rsidDel="00000000" w:rsidP="00000000" w:rsidRDefault="00000000" w:rsidRPr="00000000" w14:paraId="000002FF">
            <w:pPr>
              <w:jc w:val="both"/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Se explora 1º la ES no parética. Debe levantar el brazo extendido a 45º (decúbito) ó a 90º (sentado). No se evalúa la fuerza distal. </w:t>
            </w:r>
          </w:p>
          <w:p w:rsidR="00000000" w:rsidDel="00000000" w:rsidP="00000000" w:rsidRDefault="00000000" w:rsidRPr="00000000" w14:paraId="00000300">
            <w:pPr>
              <w:jc w:val="both"/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Se puntúa cada lado por separado.</w:t>
            </w:r>
          </w:p>
          <w:p w:rsidR="00000000" w:rsidDel="00000000" w:rsidP="00000000" w:rsidRDefault="00000000" w:rsidRPr="00000000" w14:paraId="00000301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El 9 no se contabiliza en el cómputo global.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Mantiene la posición 10”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Claudica en &lt;10” sin llegar a tocar la cama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Claudica y toca la cama en &lt;10”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Hay movimiento pero no vence la gravedad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Parálisis completa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Extremidad amputada o inmovilizada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</w:tr>
      <w:tr>
        <w:trPr>
          <w:trHeight w:val="220" w:hRule="atLeast"/>
        </w:trP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spacing w:after="120" w:lineRule="auto"/>
              <w:ind w:left="284" w:hanging="284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6)PARESIA DE EXTREMIDADES INFERIORES  (EI)</w:t>
            </w:r>
          </w:p>
          <w:p w:rsidR="00000000" w:rsidDel="00000000" w:rsidP="00000000" w:rsidRDefault="00000000" w:rsidRPr="00000000" w14:paraId="00000344">
            <w:pPr>
              <w:jc w:val="both"/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Se explora 1º la EI no parética. Debe levantar la pierna extendida y mantener a 30º.  </w:t>
            </w:r>
          </w:p>
          <w:p w:rsidR="00000000" w:rsidDel="00000000" w:rsidP="00000000" w:rsidRDefault="00000000" w:rsidRPr="00000000" w14:paraId="00000345">
            <w:pPr>
              <w:jc w:val="both"/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Se puntúa cada lado por separado.</w:t>
            </w:r>
          </w:p>
          <w:p w:rsidR="00000000" w:rsidDel="00000000" w:rsidP="00000000" w:rsidRDefault="00000000" w:rsidRPr="00000000" w14:paraId="0000034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El 9 no se contabiliza en el cómputo global.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Mantiene la posición 5”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trHeight w:val="22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Claudica en &lt;5” sin llegar a tocar la cama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trHeight w:val="22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Claudica y toca la cama en &lt;5”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trHeight w:val="22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Hay movimiento pero no vence la gravedad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rPr>
          <w:trHeight w:val="22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Parálisis completa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4</w:t>
            </w:r>
          </w:p>
        </w:tc>
      </w:tr>
      <w:tr>
        <w:trPr>
          <w:trHeight w:val="22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Extremidad amputada o inmovilizada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7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</w:tr>
      <w:tr>
        <w:trPr>
          <w:trHeight w:val="240" w:hRule="atLeast"/>
        </w:trP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7)ATAXIA DE LAS EXTREMIDADES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9">
            <w:pPr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Dedo-nariz  y  talón-rodilla.</w:t>
            </w:r>
          </w:p>
          <w:p w:rsidR="00000000" w:rsidDel="00000000" w:rsidP="00000000" w:rsidRDefault="00000000" w:rsidRPr="00000000" w14:paraId="000003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déficit motor que impida medir dismetría: 0 pt.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Normal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Ataxia en una extremidad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Ataxia en dos extremidades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rPr>
          <w:trHeight w:val="240" w:hRule="atLeast"/>
        </w:trP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spacing w:after="120" w:lineRule="auto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8)SENSIBILIDAD</w:t>
            </w:r>
          </w:p>
          <w:p w:rsidR="00000000" w:rsidDel="00000000" w:rsidP="00000000" w:rsidRDefault="00000000" w:rsidRPr="00000000" w14:paraId="000003AC">
            <w:pPr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obnubilado evaluar la retirada al estímulo doloroso. Si déficit bilateral o coma: 2 ptos.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Normal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Leve / moderada hipoestesia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rPr>
          <w:trHeight w:val="240" w:hRule="atLeast"/>
        </w:trP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Anestesia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d9d9d9" w:space="0" w:sz="4" w:val="single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CD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9)LENGUAJE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E">
            <w:pPr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coma: 3 puntos.</w:t>
            </w:r>
          </w:p>
          <w:p w:rsidR="00000000" w:rsidDel="00000000" w:rsidP="00000000" w:rsidRDefault="00000000" w:rsidRPr="00000000" w14:paraId="000003C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intubación/anartria: explorar por escritura.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Normal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Afasia leve / moderada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D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Afasia grave, no es posible entenderse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E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Afasia global o en coma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3</w:t>
            </w:r>
          </w:p>
        </w:tc>
      </w:tr>
      <w:t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B">
            <w:pPr>
              <w:spacing w:after="1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10)DISARTRIA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C">
            <w:pPr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afasia: 3 puntos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Normal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3F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Leve, se le puede entender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Grave, ininteligible o anartria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Intubado. No puntúa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bottom w:color="000000" w:space="0" w:sz="4" w:val="single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9</w:t>
            </w:r>
          </w:p>
        </w:tc>
      </w:tr>
      <w:tr>
        <w:tc>
          <w:tcPr>
            <w:vMerge w:val="restart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spacing w:after="120" w:lineRule="auto"/>
              <w:ind w:left="318" w:hanging="318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11)EXTINSIÓN- NEGLIGENCIA- INATENCIÓN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9">
            <w:pPr>
              <w:rPr>
                <w:rFonts w:ascii="Quattrocento Sans" w:cs="Quattrocento Sans" w:eastAsia="Quattrocento Sans" w:hAnsi="Quattrocento Sans"/>
                <w:sz w:val="16"/>
                <w:szCs w:val="16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16"/>
                <w:szCs w:val="16"/>
                <w:rtl w:val="0"/>
              </w:rPr>
              <w:t xml:space="preserve">Si coma 2 puntos.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Normal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0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Inatención/Extinción en una modalidad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1</w:t>
            </w:r>
          </w:p>
        </w:tc>
      </w:tr>
      <w:tr>
        <w:tc>
          <w:tcPr>
            <w:vMerge w:val="continue"/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Inatención/Extinsión en más de una modalidad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</w:t>
            </w:r>
          </w:p>
        </w:tc>
      </w:tr>
      <w:tr>
        <w:tc>
          <w:tcPr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A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5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5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tcMar>
              <w:top w:w="28.0" w:type="dxa"/>
              <w:bottom w:w="28.0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5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Glosario de abreviaturas</w:t>
      </w:r>
    </w:p>
    <w:p w:rsidR="00000000" w:rsidDel="00000000" w:rsidP="00000000" w:rsidRDefault="00000000" w:rsidRPr="00000000" w14:paraId="0000048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ACM: arteria cerebral media; </w:t>
      </w:r>
    </w:p>
    <w:p w:rsidR="00000000" w:rsidDel="00000000" w:rsidP="00000000" w:rsidRDefault="00000000" w:rsidRPr="00000000" w14:paraId="0000048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ACV: accidente cerebrovascular; </w:t>
      </w:r>
    </w:p>
    <w:p w:rsidR="00000000" w:rsidDel="00000000" w:rsidP="00000000" w:rsidRDefault="00000000" w:rsidRPr="00000000" w14:paraId="0000048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ACVi: accidente cerebrovascular isquémico; </w:t>
      </w:r>
    </w:p>
    <w:p w:rsidR="00000000" w:rsidDel="00000000" w:rsidP="00000000" w:rsidRDefault="00000000" w:rsidRPr="00000000" w14:paraId="0000048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ASPECTS: Alberta Program Early CT Score; </w:t>
      </w:r>
    </w:p>
    <w:p w:rsidR="00000000" w:rsidDel="00000000" w:rsidP="00000000" w:rsidRDefault="00000000" w:rsidRPr="00000000" w14:paraId="0000048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ECG: electrocardiograma; HBPM: heparinas de bajo peso molecular; </w:t>
      </w:r>
    </w:p>
    <w:p w:rsidR="00000000" w:rsidDel="00000000" w:rsidP="00000000" w:rsidRDefault="00000000" w:rsidRPr="00000000" w14:paraId="0000048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HIC: hemorragia intracerebral; </w:t>
      </w:r>
    </w:p>
    <w:p w:rsidR="00000000" w:rsidDel="00000000" w:rsidP="00000000" w:rsidRDefault="00000000" w:rsidRPr="00000000" w14:paraId="0000048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HNF: heparina no fraccionada; </w:t>
      </w:r>
    </w:p>
    <w:p w:rsidR="00000000" w:rsidDel="00000000" w:rsidP="00000000" w:rsidRDefault="00000000" w:rsidRPr="00000000" w14:paraId="0000048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HTA: hipertensión arterial; </w:t>
      </w:r>
    </w:p>
    <w:p w:rsidR="00000000" w:rsidDel="00000000" w:rsidP="00000000" w:rsidRDefault="00000000" w:rsidRPr="00000000" w14:paraId="0000048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IV: intravenoso; </w:t>
      </w:r>
    </w:p>
    <w:p w:rsidR="00000000" w:rsidDel="00000000" w:rsidP="00000000" w:rsidRDefault="00000000" w:rsidRPr="00000000" w14:paraId="0000048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mRS: Escala de Rankin Modificada; </w:t>
      </w:r>
    </w:p>
    <w:p w:rsidR="00000000" w:rsidDel="00000000" w:rsidP="00000000" w:rsidRDefault="00000000" w:rsidRPr="00000000" w14:paraId="0000048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NIHSS: Escala de ACV de Institutos de Salud de Estados Unidos de América;; OGVC: oclusión de gran vaso cerebral; </w:t>
      </w:r>
    </w:p>
    <w:p w:rsidR="00000000" w:rsidDel="00000000" w:rsidP="00000000" w:rsidRDefault="00000000" w:rsidRPr="00000000" w14:paraId="0000048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RIN: relación internacional normatizada; </w:t>
      </w:r>
    </w:p>
    <w:p w:rsidR="00000000" w:rsidDel="00000000" w:rsidP="00000000" w:rsidRDefault="00000000" w:rsidRPr="00000000" w14:paraId="0000048D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rtPA: activador tisular del plasminógeno; </w:t>
      </w:r>
    </w:p>
    <w:p w:rsidR="00000000" w:rsidDel="00000000" w:rsidP="00000000" w:rsidRDefault="00000000" w:rsidRPr="00000000" w14:paraId="0000048E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PA: presión arterial; </w:t>
      </w:r>
    </w:p>
    <w:p w:rsidR="00000000" w:rsidDel="00000000" w:rsidP="00000000" w:rsidRDefault="00000000" w:rsidRPr="00000000" w14:paraId="0000048F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PAD: presión arterial diastólica; </w:t>
      </w:r>
    </w:p>
    <w:p w:rsidR="00000000" w:rsidDel="00000000" w:rsidP="00000000" w:rsidRDefault="00000000" w:rsidRPr="00000000" w14:paraId="00000490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PAS: presión arterial sistólica; </w:t>
      </w:r>
    </w:p>
    <w:p w:rsidR="00000000" w:rsidDel="00000000" w:rsidP="00000000" w:rsidRDefault="00000000" w:rsidRPr="00000000" w14:paraId="0000049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TC: tomografía computada; </w:t>
      </w:r>
    </w:p>
    <w:p w:rsidR="00000000" w:rsidDel="00000000" w:rsidP="00000000" w:rsidRDefault="00000000" w:rsidRPr="00000000" w14:paraId="0000049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TEV: tratamiento trombolitico endovenoso ;</w:t>
      </w:r>
    </w:p>
    <w:p w:rsidR="00000000" w:rsidDel="00000000" w:rsidP="00000000" w:rsidRDefault="00000000" w:rsidRPr="00000000" w14:paraId="00000493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 TM: trombectomía mecánica.</w:t>
      </w:r>
    </w:p>
    <w:p w:rsidR="00000000" w:rsidDel="00000000" w:rsidP="00000000" w:rsidRDefault="00000000" w:rsidRPr="00000000" w14:paraId="0000049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5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8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B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C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color w:val="000000"/>
          <w:sz w:val="28"/>
          <w:szCs w:val="28"/>
        </w:rPr>
        <w:sectPr>
          <w:type w:val="continuous"/>
          <w:pgSz w:h="15840" w:w="12240" w:orient="portrait"/>
          <w:pgMar w:bottom="720" w:top="720" w:left="720" w:right="72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rFonts w:ascii="Arial" w:cs="Arial" w:eastAsia="Arial" w:hAnsi="Arial"/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56.0" w:type="dxa"/>
        <w:jc w:val="left"/>
        <w:tblInd w:w="108.0" w:type="dxa"/>
        <w:tbl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H w:color="c0504d" w:space="0" w:sz="8" w:val="single"/>
          <w:insideV w:color="c0504d" w:space="0" w:sz="8" w:val="single"/>
        </w:tblBorders>
        <w:tblLayout w:type="fixed"/>
        <w:tblLook w:val="04A0"/>
      </w:tblPr>
      <w:tblGrid>
        <w:gridCol w:w="5954"/>
        <w:gridCol w:w="3402"/>
        <w:tblGridChange w:id="0">
          <w:tblGrid>
            <w:gridCol w:w="5954"/>
            <w:gridCol w:w="3402"/>
          </w:tblGrid>
        </w:tblGridChange>
      </w:tblGrid>
      <w:tr>
        <w:trPr>
          <w:trHeight w:val="760" w:hRule="atLeast"/>
        </w:trPr>
        <w:tc>
          <w:tcPr>
            <w:gridSpan w:val="2"/>
            <w:tcBorders>
              <w:top w:color="c0504d" w:space="0" w:sz="6" w:val="single"/>
              <w:left w:color="c0504d" w:space="0" w:sz="6" w:val="single"/>
              <w:bottom w:color="c0504d" w:space="0" w:sz="6" w:val="single"/>
              <w:right w:color="c0504d" w:space="0" w:sz="6" w:val="single"/>
            </w:tcBorders>
            <w:shd w:fill="d99594" w:val="clear"/>
            <w:tcMar>
              <w:top w:w="57.0" w:type="dxa"/>
              <w:bottom w:w="57.0" w:type="dxa"/>
            </w:tcMar>
            <w:vAlign w:val="center"/>
          </w:tcPr>
          <w:p w:rsidR="00000000" w:rsidDel="00000000" w:rsidP="00000000" w:rsidRDefault="00000000" w:rsidRPr="00000000" w14:paraId="0000049E">
            <w:pPr>
              <w:jc w:val="center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8"/>
                <w:szCs w:val="28"/>
                <w:rtl w:val="0"/>
              </w:rPr>
              <w:t xml:space="preserve">PERÍODOS  CRÍTICOS  DE  TIEMPO</w:t>
            </w:r>
          </w:p>
        </w:tc>
      </w:tr>
      <w:tr>
        <w:trPr>
          <w:trHeight w:val="360" w:hRule="atLeast"/>
        </w:trPr>
        <w:tc>
          <w:tcPr>
            <w:tcBorders>
              <w:top w:color="c0504d" w:space="0" w:sz="6" w:val="single"/>
            </w:tcBorders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0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Evaluación general inmediata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504d" w:space="0" w:sz="6" w:val="single"/>
            </w:tcBorders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1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10 minutos</w:t>
            </w:r>
          </w:p>
        </w:tc>
      </w:tr>
      <w:tr>
        <w:trPr>
          <w:trHeight w:val="360" w:hRule="atLeast"/>
        </w:trPr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2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Evaluación neurológica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25 minutos</w:t>
            </w:r>
          </w:p>
        </w:tc>
      </w:tr>
      <w:tr>
        <w:trPr>
          <w:trHeight w:val="360" w:hRule="atLeast"/>
        </w:trPr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4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Adquisición de TC de cráneo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5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25 minutos</w:t>
            </w:r>
          </w:p>
        </w:tc>
      </w:tr>
      <w:tr>
        <w:trPr>
          <w:trHeight w:val="360" w:hRule="atLeast"/>
        </w:trPr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6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Interpretación de la TC de cráneo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45 minutos</w:t>
            </w:r>
          </w:p>
        </w:tc>
      </w:tr>
      <w:tr>
        <w:trPr>
          <w:trHeight w:val="740" w:hRule="atLeast"/>
        </w:trPr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Administración del Fibrinolítico, contando desde la llegada al servicio de urgencia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9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60 minutos</w:t>
            </w:r>
          </w:p>
        </w:tc>
      </w:tr>
      <w:tr>
        <w:trPr>
          <w:trHeight w:val="760" w:hRule="atLeast"/>
        </w:trPr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A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Administración del tratamiento Fibrinolítico contando desde la aparición de los síntomas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B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3 horas o 4,5 horas en pacientes seleccionados</w:t>
            </w:r>
          </w:p>
        </w:tc>
      </w:tr>
      <w:tr>
        <w:trPr>
          <w:trHeight w:val="360" w:hRule="atLeast"/>
        </w:trPr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Ingreso en una cama monitorizada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85.0" w:type="dxa"/>
              <w:bottom w:w="85.0" w:type="dxa"/>
            </w:tcMar>
            <w:vAlign w:val="center"/>
          </w:tcPr>
          <w:p w:rsidR="00000000" w:rsidDel="00000000" w:rsidP="00000000" w:rsidRDefault="00000000" w:rsidRPr="00000000" w14:paraId="000004AD">
            <w:pPr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3 horas</w:t>
            </w:r>
          </w:p>
        </w:tc>
      </w:tr>
    </w:tbl>
    <w:p w:rsidR="00000000" w:rsidDel="00000000" w:rsidP="00000000" w:rsidRDefault="00000000" w:rsidRPr="00000000" w14:paraId="000004AE">
      <w:pPr>
        <w:rPr>
          <w:sz w:val="23"/>
          <w:szCs w:val="23"/>
        </w:rPr>
        <w:sectPr>
          <w:type w:val="nextPage"/>
          <w:pgSz w:h="15840" w:w="12240" w:orient="portrait"/>
          <w:pgMar w:bottom="1418" w:top="1701" w:left="1418" w:right="1325" w:header="0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0">
      <w:pPr>
        <w:jc w:val="center"/>
        <w:rPr>
          <w:b w:val="1"/>
          <w:sz w:val="36"/>
          <w:szCs w:val="36"/>
          <w:u w:val="singl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Tratamiento con fibrinoliticos del ACV isquémico </w:t>
      </w:r>
    </w:p>
    <w:p w:rsidR="00000000" w:rsidDel="00000000" w:rsidP="00000000" w:rsidRDefault="00000000" w:rsidRPr="00000000" w14:paraId="000004B1">
      <w:pPr>
        <w:jc w:val="center"/>
        <w:rPr>
          <w:b w:val="1"/>
          <w:sz w:val="36"/>
          <w:szCs w:val="36"/>
          <w:u w:val="singl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Consentimiento informado</w:t>
      </w:r>
    </w:p>
    <w:p w:rsidR="00000000" w:rsidDel="00000000" w:rsidP="00000000" w:rsidRDefault="00000000" w:rsidRPr="00000000" w14:paraId="000004B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Estimado paciente y/o familiares:</w:t>
      </w:r>
    </w:p>
    <w:p w:rsidR="00000000" w:rsidDel="00000000" w:rsidP="00000000" w:rsidRDefault="00000000" w:rsidRPr="00000000" w14:paraId="000004B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 accidente cerebrovascular isquémico agudo es resultado de una interrupción brusca del flujo de sangre a alguna región del cerebro. Esto hace que se genere una progresiva alteración en las neuronas que en caso de no revertir conduce a la muerte de las neuronas afectadas. Esta enfermedad tiene alta tasa de morbilidad (secuelas neurológicas) y mortalidad. </w:t>
      </w:r>
    </w:p>
    <w:p w:rsidR="00000000" w:rsidDel="00000000" w:rsidP="00000000" w:rsidRDefault="00000000" w:rsidRPr="00000000" w14:paraId="000004B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Tras diversos estudios de investigación la FDA americana (ente regulador de medicamentos en estados unidos) aprobó en junio de 1996,  el uso del r-TPA para los pacientes con accidentes cerebrovasculares isquémicos el cual se debe administrar antes de las 4 horas y medias de comenzados los síntomas solo en aquellos que no posean contraindicaciones. Este medicamento actúa disolviendo el coágulo que impide el paso sanguíneo.  </w:t>
      </w:r>
    </w:p>
    <w:p w:rsidR="00000000" w:rsidDel="00000000" w:rsidP="00000000" w:rsidRDefault="00000000" w:rsidRPr="00000000" w14:paraId="000004B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A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Beneficios</w:t>
      </w:r>
      <w:r w:rsidDel="00000000" w:rsidR="00000000" w:rsidRPr="00000000">
        <w:rPr>
          <w:sz w:val="24"/>
          <w:szCs w:val="24"/>
          <w:rtl w:val="0"/>
        </w:rPr>
        <w:t xml:space="preserve">: el medicamento al poder disolver el coagulo puede, en algunos pacientes,  disminuir la secuela neurológica. </w:t>
      </w:r>
    </w:p>
    <w:p w:rsidR="00000000" w:rsidDel="00000000" w:rsidP="00000000" w:rsidRDefault="00000000" w:rsidRPr="00000000" w14:paraId="000004BB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Riesgos:</w:t>
      </w:r>
      <w:r w:rsidDel="00000000" w:rsidR="00000000" w:rsidRPr="00000000">
        <w:rPr>
          <w:sz w:val="24"/>
          <w:szCs w:val="24"/>
          <w:rtl w:val="0"/>
        </w:rPr>
        <w:t xml:space="preserve"> Hemorragias que pueden afectar cualquier zona del cuerpo. Reacciones alérgica, de leves a severas. Estas complicaciones pueden requerir tratamiento médico, uso de hemoderivados o intervenciones quirúrgicas.</w:t>
      </w:r>
    </w:p>
    <w:p w:rsidR="00000000" w:rsidDel="00000000" w:rsidP="00000000" w:rsidRDefault="00000000" w:rsidRPr="00000000" w14:paraId="000004BC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Alternativas terapéuticas:</w:t>
      </w:r>
      <w:r w:rsidDel="00000000" w:rsidR="00000000" w:rsidRPr="00000000">
        <w:rPr>
          <w:sz w:val="24"/>
          <w:szCs w:val="24"/>
          <w:rtl w:val="0"/>
        </w:rPr>
        <w:t xml:space="preserve"> No hay ningún otro medicamento capaz de disolver el coagulo y mejorar el flujo sanguíneo, en caso de negarse al uso de r-TPA, igual se le darán  todos los cuidados básicos que requiera y el cuadro neurológico evolucionara naturalmente. </w:t>
      </w:r>
    </w:p>
    <w:p w:rsidR="00000000" w:rsidDel="00000000" w:rsidP="00000000" w:rsidRDefault="00000000" w:rsidRPr="00000000" w14:paraId="000004BD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caso de acceder al uso de r-TPA y de presentarse alguna complicación tenga presente que estarán a disposición todos los medios técnicos de nuestro hospital para poder solucionarla.  </w:t>
      </w:r>
    </w:p>
    <w:p w:rsidR="00000000" w:rsidDel="00000000" w:rsidP="00000000" w:rsidRDefault="00000000" w:rsidRPr="00000000" w14:paraId="000004BF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 después de leer detenidamente este documento usted tiene dudas o preguntas  al respecto no dude en realizarlas al médico responsable. </w:t>
      </w:r>
    </w:p>
    <w:p w:rsidR="00000000" w:rsidDel="00000000" w:rsidP="00000000" w:rsidRDefault="00000000" w:rsidRPr="00000000" w14:paraId="000004C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YO____________________________________________________  DOY / NIEGO mi consentimiento para que sea realizado el tratamiento fibrinolitico con r-TPA. Se me ha entregado esta hoja informativa, y se me ha explicados los riesgos y los beneficios de su uso. Declaro estar debidamente informado incluso que he tenido la posibilidad de sacar mis dudas en una entrevista personal con el DR/DRa_______________________ .</w:t>
      </w:r>
    </w:p>
    <w:p w:rsidR="00000000" w:rsidDel="00000000" w:rsidP="00000000" w:rsidRDefault="00000000" w:rsidRPr="00000000" w14:paraId="000004C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decisión fue tomada libre y voluntariamente haciéndome responsable de las consecuencias de haber tomado esta decisión. </w:t>
      </w:r>
    </w:p>
    <w:p w:rsidR="00000000" w:rsidDel="00000000" w:rsidP="00000000" w:rsidRDefault="00000000" w:rsidRPr="00000000" w14:paraId="000004C4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5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Paciente/familiar (vinculo):                                             Medico responsable:</w:t>
      </w:r>
    </w:p>
    <w:p w:rsidR="00000000" w:rsidDel="00000000" w:rsidP="00000000" w:rsidRDefault="00000000" w:rsidRPr="00000000" w14:paraId="000004C6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7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DNI:                                                                                   Matricula: </w:t>
      </w:r>
    </w:p>
    <w:p w:rsidR="00000000" w:rsidDel="00000000" w:rsidP="00000000" w:rsidRDefault="00000000" w:rsidRPr="00000000" w14:paraId="000004C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B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C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D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E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0">
      <w:pPr>
        <w:rPr>
          <w:rFonts w:ascii="Arial" w:cs="Arial" w:eastAsia="Arial" w:hAnsi="Arial"/>
          <w:b w:val="1"/>
          <w:sz w:val="32"/>
          <w:szCs w:val="32"/>
          <w:u w:val="single"/>
        </w:rPr>
      </w:pPr>
      <w:bookmarkStart w:colFirst="0" w:colLast="0" w:name="_heading=h.1fob9te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1">
      <w:pPr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u w:val="single"/>
          <w:rtl w:val="0"/>
        </w:rPr>
        <w:t xml:space="preserve">Equipo de trabajo- Comité de stroke: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completar</w:t>
      </w:r>
    </w:p>
    <w:p w:rsidR="00000000" w:rsidDel="00000000" w:rsidP="00000000" w:rsidRDefault="00000000" w:rsidRPr="00000000" w14:paraId="000004D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7">
      <w:pPr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u w:val="single"/>
          <w:rtl w:val="0"/>
        </w:rPr>
        <w:t xml:space="preserve">Revisor externo:</w:t>
      </w:r>
    </w:p>
    <w:p w:rsidR="00000000" w:rsidDel="00000000" w:rsidP="00000000" w:rsidRDefault="00000000" w:rsidRPr="00000000" w14:paraId="000004D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4D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La Dra cristina Zurru esta dispuesta a revisarlo.</w:t>
      </w:r>
    </w:p>
    <w:sectPr>
      <w:type w:val="nextPage"/>
      <w:pgSz w:h="15840" w:w="12240" w:orient="portrait"/>
      <w:pgMar w:bottom="1418" w:top="1701" w:left="1418" w:right="1467" w:header="0" w:footer="1956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  <w:font w:name="Cambria"/>
  <w:font w:name="Comic Sans MS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/>
  <w:font w:name="Century Gothic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–"/>
      <w:lvlJc w:val="left"/>
      <w:pPr>
        <w:ind w:left="1440" w:hanging="360"/>
      </w:pPr>
      <w:rPr>
        <w:rFonts w:ascii="Calibri" w:cs="Calibri" w:eastAsia="Calibri" w:hAnsi="Calibri"/>
        <w:b w:val="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upperLetter"/>
      <w:lvlText w:val="%1."/>
      <w:lvlJc w:val="left"/>
      <w:pPr>
        <w:ind w:left="643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363" w:hanging="359"/>
      </w:pPr>
      <w:rPr/>
    </w:lvl>
    <w:lvl w:ilvl="2">
      <w:start w:val="1"/>
      <w:numFmt w:val="lowerRoman"/>
      <w:lvlText w:val="%3."/>
      <w:lvlJc w:val="right"/>
      <w:pPr>
        <w:ind w:left="2083" w:hanging="180"/>
      </w:pPr>
      <w:rPr/>
    </w:lvl>
    <w:lvl w:ilvl="3">
      <w:start w:val="1"/>
      <w:numFmt w:val="decimal"/>
      <w:lvlText w:val="%4."/>
      <w:lvlJc w:val="left"/>
      <w:pPr>
        <w:ind w:left="2803" w:hanging="360"/>
      </w:pPr>
      <w:rPr/>
    </w:lvl>
    <w:lvl w:ilvl="4">
      <w:start w:val="1"/>
      <w:numFmt w:val="lowerLetter"/>
      <w:lvlText w:val="%5."/>
      <w:lvlJc w:val="left"/>
      <w:pPr>
        <w:ind w:left="3523" w:hanging="360"/>
      </w:pPr>
      <w:rPr/>
    </w:lvl>
    <w:lvl w:ilvl="5">
      <w:start w:val="1"/>
      <w:numFmt w:val="lowerRoman"/>
      <w:lvlText w:val="%6."/>
      <w:lvlJc w:val="right"/>
      <w:pPr>
        <w:ind w:left="4243" w:hanging="180"/>
      </w:pPr>
      <w:rPr/>
    </w:lvl>
    <w:lvl w:ilvl="6">
      <w:start w:val="1"/>
      <w:numFmt w:val="decimal"/>
      <w:lvlText w:val="%7."/>
      <w:lvlJc w:val="left"/>
      <w:pPr>
        <w:ind w:left="4963" w:hanging="360"/>
      </w:pPr>
      <w:rPr/>
    </w:lvl>
    <w:lvl w:ilvl="7">
      <w:start w:val="1"/>
      <w:numFmt w:val="lowerLetter"/>
      <w:lvlText w:val="%8."/>
      <w:lvlJc w:val="left"/>
      <w:pPr>
        <w:ind w:left="5683" w:hanging="360"/>
      </w:pPr>
      <w:rPr/>
    </w:lvl>
    <w:lvl w:ilvl="8">
      <w:start w:val="1"/>
      <w:numFmt w:val="lowerRoman"/>
      <w:lvlText w:val="%9."/>
      <w:lvlJc w:val="right"/>
      <w:pPr>
        <w:ind w:left="6403" w:hanging="18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9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9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❖"/>
      <w:lvlJc w:val="left"/>
      <w:pPr>
        <w:ind w:left="60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➢"/>
      <w:lvlJc w:val="left"/>
      <w:pPr>
        <w:ind w:left="720" w:hanging="360"/>
      </w:pPr>
      <w:rPr>
        <w:rFonts w:ascii="Quattrocento Sans" w:cs="Quattrocento Sans" w:eastAsia="Quattrocento Sans" w:hAnsi="Quattrocen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6">
    <w:lvl w:ilvl="0">
      <w:start w:val="1"/>
      <w:numFmt w:val="bullet"/>
      <w:lvlText w:val="●"/>
      <w:lvlJc w:val="left"/>
      <w:pPr>
        <w:ind w:left="60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32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04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76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48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20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64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360" w:hanging="360"/>
      </w:pPr>
      <w:rPr>
        <w:rFonts w:ascii="Noto Sans Symbols" w:cs="Noto Sans Symbols" w:eastAsia="Noto Sans Symbols" w:hAnsi="Noto Sans Symbols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8">
    <w:lvl w:ilvl="0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38" w:lineRule="auto"/>
      <w:ind w:left="211"/>
    </w:pPr>
    <w:rPr>
      <w:sz w:val="31"/>
      <w:szCs w:val="31"/>
    </w:rPr>
  </w:style>
  <w:style w:type="paragraph" w:styleId="Heading2">
    <w:name w:val="heading 2"/>
    <w:basedOn w:val="Normal"/>
    <w:next w:val="Normal"/>
    <w:pPr>
      <w:spacing w:before="48" w:lineRule="auto"/>
      <w:ind w:left="151"/>
    </w:pPr>
    <w:rPr>
      <w:sz w:val="27"/>
      <w:szCs w:val="27"/>
    </w:rPr>
  </w:style>
  <w:style w:type="paragraph" w:styleId="Heading3">
    <w:name w:val="heading 3"/>
    <w:basedOn w:val="Normal"/>
    <w:next w:val="Normal"/>
    <w:pPr>
      <w:ind w:left="712" w:hanging="561"/>
    </w:pPr>
    <w:rPr>
      <w:i w:val="1"/>
      <w:sz w:val="27"/>
      <w:szCs w:val="27"/>
    </w:rPr>
  </w:style>
  <w:style w:type="paragraph" w:styleId="Heading4">
    <w:name w:val="heading 4"/>
    <w:basedOn w:val="Normal"/>
    <w:next w:val="Normal"/>
    <w:pPr>
      <w:ind w:left="231"/>
    </w:pPr>
    <w:rPr>
      <w:sz w:val="23"/>
      <w:szCs w:val="23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96ABF"/>
  </w:style>
  <w:style w:type="paragraph" w:styleId="Ttulo1">
    <w:name w:val="heading 1"/>
    <w:basedOn w:val="Normal"/>
    <w:next w:val="Normal"/>
    <w:uiPriority w:val="9"/>
    <w:qFormat w:val="1"/>
    <w:rsid w:val="00B96ABF"/>
    <w:pPr>
      <w:spacing w:before="38"/>
      <w:ind w:left="211"/>
      <w:outlineLvl w:val="0"/>
    </w:pPr>
    <w:rPr>
      <w:sz w:val="31"/>
      <w:szCs w:val="3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rsid w:val="00B96ABF"/>
    <w:pPr>
      <w:spacing w:before="48"/>
      <w:ind w:left="151"/>
      <w:outlineLvl w:val="1"/>
    </w:pPr>
    <w:rPr>
      <w:sz w:val="27"/>
      <w:szCs w:val="27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rsid w:val="00B96ABF"/>
    <w:pPr>
      <w:ind w:left="712" w:hanging="561"/>
      <w:outlineLvl w:val="2"/>
    </w:pPr>
    <w:rPr>
      <w:i w:val="1"/>
      <w:sz w:val="27"/>
      <w:szCs w:val="27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rsid w:val="00B96ABF"/>
    <w:pPr>
      <w:ind w:left="231"/>
      <w:outlineLvl w:val="3"/>
    </w:pPr>
    <w:rPr>
      <w:sz w:val="23"/>
      <w:szCs w:val="23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rsid w:val="00B96ABF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rsid w:val="00B96ABF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rsid w:val="00B96ABF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rsid w:val="00B96ABF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rsid w:val="00B96ABF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rsid w:val="00B96ABF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</w:style>
  <w:style w:type="table" w:styleId="a0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</w:style>
  <w:style w:type="table" w:styleId="a1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  <w:tblStylePr w:type="firstRow">
      <w:pPr>
        <w:spacing w:after="0" w:before="0" w:line="240" w:lineRule="auto"/>
      </w:pPr>
      <w:rPr>
        <w:rFonts w:ascii="Cambria" w:cs="Cambria" w:eastAsia="Cambria" w:hAnsi="Cambria"/>
        <w:b w:val="1"/>
      </w:rPr>
      <w:tblPr/>
      <w:tcPr>
        <w:tcBorders>
          <w:top w:color="c0504d" w:space="0" w:sz="8" w:val="single"/>
          <w:left w:color="c0504d" w:space="0" w:sz="8" w:val="single"/>
          <w:bottom w:color="c0504d" w:space="0" w:sz="18" w:val="single"/>
          <w:right w:color="c0504d" w:space="0" w:sz="8" w:val="single"/>
          <w:insideH w:space="0" w:sz="0" w:val="nil"/>
          <w:insideV w:color="c0504d" w:space="0" w:sz="8" w:val="single"/>
        </w:tcBorders>
      </w:tcPr>
    </w:tblStylePr>
    <w:tblStylePr w:type="lastRow">
      <w:pPr>
        <w:spacing w:after="0" w:before="0" w:line="240" w:lineRule="auto"/>
      </w:pPr>
      <w:rPr>
        <w:rFonts w:ascii="Cambria" w:cs="Cambria" w:eastAsia="Cambria" w:hAnsi="Cambria"/>
        <w:b w:val="1"/>
      </w:rPr>
      <w:tblPr/>
      <w:tcPr>
        <w:tcBorders>
          <w:top w:color="c0504d" w:space="0" w:sz="6" w:val="single"/>
          <w:left w:color="c0504d" w:space="0" w:sz="8" w:val="single"/>
          <w:bottom w:color="c0504d" w:space="0" w:sz="8" w:val="single"/>
          <w:right w:color="c0504d" w:space="0" w:sz="8" w:val="single"/>
          <w:insideH w:space="0" w:sz="0" w:val="nil"/>
          <w:insideV w:color="c0504d" w:space="0" w:sz="8" w:val="single"/>
        </w:tcBorders>
      </w:tcPr>
    </w:tblStylePr>
    <w:tblStylePr w:type="firstCol">
      <w:rPr>
        <w:rFonts w:ascii="Cambria" w:cs="Cambria" w:eastAsia="Cambria" w:hAnsi="Cambria"/>
        <w:b w:val="1"/>
      </w:rPr>
    </w:tblStylePr>
    <w:tblStylePr w:type="lastCol">
      <w:rPr>
        <w:rFonts w:ascii="Cambria" w:cs="Cambria" w:eastAsia="Cambria" w:hAnsi="Cambria"/>
        <w:b w:val="1"/>
      </w:rPr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</w:tcPr>
    </w:tblStylePr>
    <w:tblStylePr w:type="band1Vert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  <w:shd w:color="auto" w:fill="efd3d3" w:val="clear"/>
      </w:tcPr>
    </w:tblStylePr>
    <w:tblStylePr w:type="band1Horz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V w:color="c0504d" w:space="0" w:sz="8" w:val="single"/>
        </w:tcBorders>
        <w:shd w:color="auto" w:fill="efd3d3" w:val="clear"/>
      </w:tcPr>
    </w:tblStylePr>
    <w:tblStylePr w:type="band2Horz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V w:color="c0504d" w:space="0" w:sz="8" w:val="single"/>
        </w:tcBorders>
      </w:tcPr>
    </w:tblStylePr>
  </w:style>
  <w:style w:type="table" w:styleId="a2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  <w:tblStylePr w:type="firstRow">
      <w:pPr>
        <w:spacing w:after="0" w:before="0" w:line="240" w:lineRule="auto"/>
      </w:pPr>
      <w:rPr>
        <w:b w:val="1"/>
      </w:rPr>
      <w:tblPr/>
      <w:tcPr>
        <w:tcBorders>
          <w:top w:color="c0504d" w:space="0" w:sz="8" w:val="single"/>
          <w:left w:space="0" w:sz="0" w:val="nil"/>
          <w:bottom w:color="c0504d" w:space="0" w:sz="8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c0504d" w:space="0" w:sz="8" w:val="single"/>
          <w:left w:space="0" w:sz="0" w:val="nil"/>
          <w:bottom w:color="c0504d" w:space="0" w:sz="8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3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3" w:val="clear"/>
      </w:tcPr>
    </w:tblStylePr>
  </w:style>
  <w:style w:type="table" w:styleId="a3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  <w:tblStylePr w:type="firstRow">
      <w:pPr>
        <w:spacing w:after="0" w:before="0" w:line="240" w:lineRule="auto"/>
      </w:pPr>
      <w:rPr>
        <w:b w:val="1"/>
      </w:rPr>
      <w:tblPr/>
      <w:tcPr>
        <w:tcBorders>
          <w:top w:color="c0504d" w:space="0" w:sz="8" w:val="single"/>
          <w:left w:space="0" w:sz="0" w:val="nil"/>
          <w:bottom w:color="c0504d" w:space="0" w:sz="8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</w:rPr>
      <w:tblPr/>
      <w:tcPr>
        <w:tcBorders>
          <w:top w:color="c0504d" w:space="0" w:sz="8" w:val="single"/>
          <w:left w:space="0" w:sz="0" w:val="nil"/>
          <w:bottom w:color="c0504d" w:space="0" w:sz="8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3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3" w:val="clear"/>
      </w:tcPr>
    </w:tblStylePr>
  </w:style>
  <w:style w:type="table" w:styleId="a4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  <w:tblStylePr w:type="firstRow">
      <w:rPr>
        <w:b w:val="1"/>
        <w:color w:val="ffffff"/>
      </w:rPr>
      <w:tblPr/>
      <w:tcPr>
        <w:tcBorders>
          <w:bottom w:color="ffffff" w:space="0" w:sz="12" w:val="single"/>
        </w:tcBorders>
        <w:shd w:color="auto" w:fill="9e3a38" w:val="clear"/>
      </w:tcPr>
    </w:tblStylePr>
    <w:tblStylePr w:type="lastRow">
      <w:rPr>
        <w:b w:val="1"/>
        <w:color w:val="9e3a38"/>
      </w:rPr>
      <w:tblPr/>
      <w:tcPr>
        <w:tcBorders>
          <w:top w:color="000000" w:space="0" w:sz="12" w:val="single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3" w:val="clear"/>
      </w:tcPr>
    </w:tblStylePr>
    <w:tblStylePr w:type="band1Horz">
      <w:tblPr/>
      <w:tcPr>
        <w:shd w:color="auto" w:fill="f2dcdb" w:val="clear"/>
      </w:tcPr>
    </w:tblStylePr>
  </w:style>
  <w:style w:type="table" w:styleId="a5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</w:style>
  <w:style w:type="table" w:styleId="a6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  <w:tblStylePr w:type="firstRow">
      <w:pPr>
        <w:spacing w:after="0" w:before="0" w:line="240" w:lineRule="auto"/>
      </w:pPr>
      <w:rPr>
        <w:rFonts w:ascii="Cambria" w:cs="Cambria" w:eastAsia="Cambria" w:hAnsi="Cambria"/>
        <w:b w:val="1"/>
      </w:rPr>
      <w:tblPr/>
      <w:tcPr>
        <w:tcBorders>
          <w:top w:color="c0504d" w:space="0" w:sz="8" w:val="single"/>
          <w:left w:color="c0504d" w:space="0" w:sz="8" w:val="single"/>
          <w:bottom w:color="c0504d" w:space="0" w:sz="18" w:val="single"/>
          <w:right w:color="c0504d" w:space="0" w:sz="8" w:val="single"/>
          <w:insideH w:space="0" w:sz="0" w:val="nil"/>
          <w:insideV w:color="c0504d" w:space="0" w:sz="8" w:val="single"/>
        </w:tcBorders>
      </w:tcPr>
    </w:tblStylePr>
    <w:tblStylePr w:type="lastRow">
      <w:pPr>
        <w:spacing w:after="0" w:before="0" w:line="240" w:lineRule="auto"/>
      </w:pPr>
      <w:rPr>
        <w:rFonts w:ascii="Cambria" w:cs="Cambria" w:eastAsia="Cambria" w:hAnsi="Cambria"/>
        <w:b w:val="1"/>
      </w:rPr>
      <w:tblPr/>
      <w:tcPr>
        <w:tcBorders>
          <w:top w:color="c0504d" w:space="0" w:sz="6" w:val="single"/>
          <w:left w:color="c0504d" w:space="0" w:sz="8" w:val="single"/>
          <w:bottom w:color="c0504d" w:space="0" w:sz="8" w:val="single"/>
          <w:right w:color="c0504d" w:space="0" w:sz="8" w:val="single"/>
          <w:insideH w:space="0" w:sz="0" w:val="nil"/>
          <w:insideV w:color="c0504d" w:space="0" w:sz="8" w:val="single"/>
        </w:tcBorders>
      </w:tcPr>
    </w:tblStylePr>
    <w:tblStylePr w:type="firstCol">
      <w:rPr>
        <w:rFonts w:ascii="Cambria" w:cs="Cambria" w:eastAsia="Cambria" w:hAnsi="Cambria"/>
        <w:b w:val="1"/>
      </w:rPr>
    </w:tblStylePr>
    <w:tblStylePr w:type="lastCol">
      <w:rPr>
        <w:rFonts w:ascii="Cambria" w:cs="Cambria" w:eastAsia="Cambria" w:hAnsi="Cambria"/>
        <w:b w:val="1"/>
      </w:rPr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</w:tcPr>
    </w:tblStylePr>
    <w:tblStylePr w:type="band1Vert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  <w:shd w:color="auto" w:fill="efd3d3" w:val="clear"/>
      </w:tcPr>
    </w:tblStylePr>
    <w:tblStylePr w:type="band1Horz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V w:color="c0504d" w:space="0" w:sz="8" w:val="single"/>
        </w:tcBorders>
        <w:shd w:color="auto" w:fill="efd3d3" w:val="clear"/>
      </w:tcPr>
    </w:tblStylePr>
    <w:tblStylePr w:type="band2Horz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V w:color="c0504d" w:space="0" w:sz="8" w:val="single"/>
        </w:tcBorders>
      </w:tcPr>
    </w:tblStylePr>
  </w:style>
  <w:style w:type="table" w:styleId="Tablaconcuadrcula">
    <w:name w:val="Table Grid"/>
    <w:basedOn w:val="Tablanormal"/>
    <w:uiPriority w:val="39"/>
    <w:rsid w:val="003A4525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E756C4"/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E756C4"/>
    <w:rPr>
      <w:rFonts w:ascii="Tahoma" w:cs="Tahoma" w:hAnsi="Tahoma"/>
      <w:sz w:val="16"/>
      <w:szCs w:val="16"/>
    </w:rPr>
  </w:style>
  <w:style w:type="paragraph" w:styleId="Prrafodelista">
    <w:name w:val="List Paragraph"/>
    <w:basedOn w:val="Normal"/>
    <w:uiPriority w:val="34"/>
    <w:qFormat w:val="1"/>
    <w:rsid w:val="00573DFA"/>
    <w:pPr>
      <w:ind w:left="720"/>
      <w:contextualSpacing w:val="1"/>
    </w:pPr>
  </w:style>
  <w:style w:type="table" w:styleId="a7" w:customStyle="1">
    <w:basedOn w:val="TableNormal0"/>
    <w:rsid w:val="00B96ABF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8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</w:style>
  <w:style w:type="table" w:styleId="a9" w:customStyle="1">
    <w:basedOn w:val="TableNormal0"/>
    <w:rsid w:val="00B96ABF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a" w:customStyle="1">
    <w:basedOn w:val="TableNormal0"/>
    <w:rsid w:val="00B96ABF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b" w:customStyle="1">
    <w:basedOn w:val="TableNormal0"/>
    <w:rsid w:val="00B96ABF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c" w:customStyle="1">
    <w:basedOn w:val="TableNormal0"/>
    <w:rsid w:val="00B96ABF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d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  <w:tblStylePr w:type="firstRow">
      <w:rPr>
        <w:b w:val="1"/>
        <w:color w:val="ffffff"/>
      </w:rPr>
      <w:tblPr/>
      <w:tcPr>
        <w:tcBorders>
          <w:bottom w:color="ffffff" w:space="0" w:sz="12" w:val="single"/>
        </w:tcBorders>
        <w:shd w:color="auto" w:fill="9e3a38" w:val="clear"/>
      </w:tcPr>
    </w:tblStylePr>
    <w:tblStylePr w:type="lastRow">
      <w:rPr>
        <w:b w:val="1"/>
        <w:color w:val="9e3a38"/>
      </w:rPr>
      <w:tblPr/>
      <w:tcPr>
        <w:tcBorders>
          <w:top w:color="000000" w:space="0" w:sz="12" w:val="single"/>
        </w:tcBorders>
        <w:shd w:color="auto" w:fill="ffffff" w:val="clear"/>
      </w:tcPr>
    </w:tblStylePr>
    <w:tblStylePr w:type="firstCol">
      <w:rPr>
        <w:b w:val="1"/>
      </w:rPr>
    </w:tblStylePr>
    <w:tblStylePr w:type="lastCol">
      <w:rPr>
        <w:b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3" w:val="clear"/>
      </w:tcPr>
    </w:tblStylePr>
    <w:tblStylePr w:type="band1Horz">
      <w:tblPr/>
      <w:tcPr>
        <w:shd w:color="auto" w:fill="f2dcdb" w:val="clear"/>
      </w:tcPr>
    </w:tblStylePr>
  </w:style>
  <w:style w:type="table" w:styleId="ae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</w:style>
  <w:style w:type="table" w:styleId="af" w:customStyle="1">
    <w:basedOn w:val="TableNormal0"/>
    <w:rsid w:val="00B96ABF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f8eded" w:val="clear"/>
    </w:tcPr>
    <w:tblStylePr w:type="firstRow">
      <w:pPr>
        <w:spacing w:after="0" w:before="0" w:line="240" w:lineRule="auto"/>
      </w:pPr>
      <w:rPr>
        <w:rFonts w:ascii="Cambria" w:cs="Cambria" w:eastAsia="Cambria" w:hAnsi="Cambria"/>
        <w:b w:val="1"/>
      </w:rPr>
      <w:tblPr/>
      <w:tcPr>
        <w:tcBorders>
          <w:top w:color="c0504d" w:space="0" w:sz="8" w:val="single"/>
          <w:left w:color="c0504d" w:space="0" w:sz="8" w:val="single"/>
          <w:bottom w:color="c0504d" w:space="0" w:sz="18" w:val="single"/>
          <w:right w:color="c0504d" w:space="0" w:sz="8" w:val="single"/>
          <w:insideH w:space="0" w:sz="0" w:val="nil"/>
          <w:insideV w:color="c0504d" w:space="0" w:sz="8" w:val="single"/>
        </w:tcBorders>
      </w:tcPr>
    </w:tblStylePr>
    <w:tblStylePr w:type="lastRow">
      <w:pPr>
        <w:spacing w:after="0" w:before="0" w:line="240" w:lineRule="auto"/>
      </w:pPr>
      <w:rPr>
        <w:rFonts w:ascii="Cambria" w:cs="Cambria" w:eastAsia="Cambria" w:hAnsi="Cambria"/>
        <w:b w:val="1"/>
      </w:rPr>
      <w:tblPr/>
      <w:tcPr>
        <w:tcBorders>
          <w:top w:color="c0504d" w:space="0" w:sz="6" w:val="single"/>
          <w:left w:color="c0504d" w:space="0" w:sz="8" w:val="single"/>
          <w:bottom w:color="c0504d" w:space="0" w:sz="8" w:val="single"/>
          <w:right w:color="c0504d" w:space="0" w:sz="8" w:val="single"/>
          <w:insideH w:space="0" w:sz="0" w:val="nil"/>
          <w:insideV w:color="c0504d" w:space="0" w:sz="8" w:val="single"/>
        </w:tcBorders>
      </w:tcPr>
    </w:tblStylePr>
    <w:tblStylePr w:type="firstCol">
      <w:rPr>
        <w:rFonts w:ascii="Cambria" w:cs="Cambria" w:eastAsia="Cambria" w:hAnsi="Cambria"/>
        <w:b w:val="1"/>
      </w:rPr>
    </w:tblStylePr>
    <w:tblStylePr w:type="lastCol">
      <w:rPr>
        <w:rFonts w:ascii="Cambria" w:cs="Cambria" w:eastAsia="Cambria" w:hAnsi="Cambria"/>
        <w:b w:val="1"/>
      </w:rPr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</w:tcPr>
    </w:tblStylePr>
    <w:tblStylePr w:type="band1Vert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  <w:shd w:color="auto" w:fill="efd3d3" w:val="clear"/>
      </w:tcPr>
    </w:tblStylePr>
    <w:tblStylePr w:type="band1Horz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V w:color="c0504d" w:space="0" w:sz="8" w:val="single"/>
        </w:tcBorders>
        <w:shd w:color="auto" w:fill="efd3d3" w:val="clear"/>
      </w:tcPr>
    </w:tblStylePr>
    <w:tblStylePr w:type="band2Horz">
      <w:tblPr/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V w:color="c0504d" w:space="0" w:sz="8" w:val="single"/>
        </w:tcBorders>
      </w:tcPr>
    </w:tblStylePr>
  </w:style>
  <w:style w:type="paragraph" w:styleId="Encabezado">
    <w:name w:val="header"/>
    <w:basedOn w:val="Normal"/>
    <w:link w:val="EncabezadoCar"/>
    <w:uiPriority w:val="99"/>
    <w:unhideWhenUsed w:val="1"/>
    <w:rsid w:val="009F62FB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9F62FB"/>
  </w:style>
  <w:style w:type="paragraph" w:styleId="Piedepgina">
    <w:name w:val="footer"/>
    <w:basedOn w:val="Normal"/>
    <w:link w:val="PiedepginaCar"/>
    <w:uiPriority w:val="99"/>
    <w:unhideWhenUsed w:val="1"/>
    <w:rsid w:val="009F62FB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9F62FB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</w:style>
  <w:style w:type="table" w:styleId="Table2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</w:style>
  <w:style w:type="table" w:styleId="Table3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</w:style>
  <w:style w:type="table" w:styleId="Table4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</w:style>
  <w:style w:type="table" w:styleId="Table5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</w:style>
  <w:style w:type="table" w:styleId="Table6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</w:style>
  <w:style w:type="table" w:styleId="Table7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  <w:tblStylePr w:type="band1Horz">
      <w:tcPr>
        <w:shd w:fill="f2dcdb" w:val="clear"/>
      </w:tcPr>
    </w:tblStylePr>
    <w:tblStylePr w:type="band1Vert"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efd3d3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bottom w:color="ffffff" w:space="0" w:sz="12" w:val="single"/>
        </w:tcBorders>
        <w:shd w:fill="9e3a38" w:val="clear"/>
      </w:tcPr>
    </w:tblStylePr>
    <w:tblStylePr w:type="lastCol">
      <w:rPr>
        <w:b w:val="1"/>
      </w:rPr>
    </w:tblStylePr>
    <w:tblStylePr w:type="lastRow">
      <w:rPr>
        <w:b w:val="1"/>
        <w:color w:val="9e3a38"/>
      </w:rPr>
      <w:tcPr>
        <w:tcBorders>
          <w:top w:color="000000" w:space="0" w:sz="12" w:val="single"/>
        </w:tcBorders>
        <w:shd w:fill="ffffff" w:val="clear"/>
      </w:tcPr>
    </w:tblStylePr>
  </w:style>
  <w:style w:type="table" w:styleId="Table8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</w:style>
  <w:style w:type="table" w:styleId="Table9">
    <w:basedOn w:val="TableNormal"/>
    <w:pPr>
      <w:widowControl w:val="1"/>
    </w:pPr>
    <w:rPr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8eded" w:val="clear"/>
    </w:tcPr>
    <w:tblStylePr w:type="band1Horz"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V w:color="c0504d" w:space="0" w:sz="8" w:val="single"/>
        </w:tcBorders>
        <w:shd w:fill="efd3d3" w:val="clear"/>
      </w:tcPr>
    </w:tblStylePr>
    <w:tblStylePr w:type="band1Vert"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  <w:shd w:fill="efd3d3" w:val="clear"/>
      </w:tcPr>
    </w:tblStylePr>
    <w:tblStylePr w:type="band2Horz"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  <w:insideV w:color="c0504d" w:space="0" w:sz="8" w:val="single"/>
        </w:tcBorders>
      </w:tcPr>
    </w:tblStylePr>
    <w:tblStylePr w:type="firstCol">
      <w:rPr>
        <w:rFonts w:ascii="Cambria" w:cs="Cambria" w:eastAsia="Cambria" w:hAnsi="Cambria"/>
        <w:b w:val="1"/>
      </w:rPr>
    </w:tblStylePr>
    <w:tblStylePr w:type="firstRow">
      <w:pPr>
        <w:spacing w:after="0" w:before="0" w:line="240" w:lineRule="auto"/>
      </w:pPr>
      <w:rPr>
        <w:rFonts w:ascii="Cambria" w:cs="Cambria" w:eastAsia="Cambria" w:hAnsi="Cambria"/>
        <w:b w:val="1"/>
      </w:rPr>
      <w:tcPr>
        <w:tcBorders>
          <w:top w:color="c0504d" w:space="0" w:sz="8" w:val="single"/>
          <w:left w:color="c0504d" w:space="0" w:sz="8" w:val="single"/>
          <w:bottom w:color="c0504d" w:space="0" w:sz="18" w:val="single"/>
          <w:right w:color="c0504d" w:space="0" w:sz="8" w:val="single"/>
          <w:insideH w:color="000000" w:space="0" w:sz="0" w:val="nil"/>
          <w:insideV w:color="c0504d" w:space="0" w:sz="8" w:val="single"/>
        </w:tcBorders>
      </w:tcPr>
    </w:tblStylePr>
    <w:tblStylePr w:type="lastCol">
      <w:rPr>
        <w:rFonts w:ascii="Cambria" w:cs="Cambria" w:eastAsia="Cambria" w:hAnsi="Cambria"/>
        <w:b w:val="1"/>
      </w:rPr>
      <w:tcPr>
        <w:tcBorders>
          <w:top w:color="c0504d" w:space="0" w:sz="8" w:val="single"/>
          <w:left w:color="c0504d" w:space="0" w:sz="8" w:val="single"/>
          <w:bottom w:color="c0504d" w:space="0" w:sz="8" w:val="single"/>
          <w:right w:color="c0504d" w:space="0" w:sz="8" w:val="single"/>
        </w:tcBorders>
      </w:tcPr>
    </w:tblStylePr>
    <w:tblStylePr w:type="lastRow">
      <w:pPr>
        <w:spacing w:after="0" w:before="0" w:line="240" w:lineRule="auto"/>
      </w:pPr>
      <w:rPr>
        <w:rFonts w:ascii="Cambria" w:cs="Cambria" w:eastAsia="Cambria" w:hAnsi="Cambria"/>
        <w:b w:val="1"/>
      </w:rPr>
      <w:tcPr>
        <w:tcBorders>
          <w:top w:color="c0504d" w:space="0" w:sz="6" w:val="single"/>
          <w:left w:color="c0504d" w:space="0" w:sz="8" w:val="single"/>
          <w:bottom w:color="c0504d" w:space="0" w:sz="8" w:val="single"/>
          <w:right w:color="c0504d" w:space="0" w:sz="8" w:val="single"/>
          <w:insideH w:color="000000" w:space="0" w:sz="0" w:val="nil"/>
          <w:insideV w:color="c0504d" w:space="0" w:sz="8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3" Type="http://schemas.openxmlformats.org/officeDocument/2006/relationships/image" Target="media/image4.jp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4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11" Type="http://schemas.openxmlformats.org/officeDocument/2006/relationships/font" Target="fonts/CenturyGothic-italic.ttf"/><Relationship Id="rId10" Type="http://schemas.openxmlformats.org/officeDocument/2006/relationships/font" Target="fonts/CenturyGothic-bold.ttf"/><Relationship Id="rId12" Type="http://schemas.openxmlformats.org/officeDocument/2006/relationships/font" Target="fonts/CenturyGothic-boldItalic.ttf"/><Relationship Id="rId9" Type="http://schemas.openxmlformats.org/officeDocument/2006/relationships/font" Target="fonts/CenturyGothic-regular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ol2MelDaiyoR8LUXObQxOZJqvQ==">AMUW2mWbSzuUZOe26l5YVLRTDif91+XU1Soa1h+1l0s4pGPXYTFMN9JALTkNXyYRq2AvFVpNjbleulPOG1okho0rzJxjttv6Xq+XUhd7xeeGHXtz8N8fc/lYgseciF55cGdZ5Wt9Tbyg0Izc0MBsQQ+tzyETUfwqrw==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2019-10-09T15:12:00Z</dcterms:created>
  <dc:creator>Usuario</dc:creator>
</cp:coreProperties>
</file>